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3FB4A9" w14:textId="77777777" w:rsidR="00C11A9D" w:rsidRPr="001D4BA1" w:rsidRDefault="00E252DE">
      <w:pPr>
        <w:pStyle w:val="Ttulo2"/>
        <w:jc w:val="center"/>
        <w:rPr>
          <w:rFonts w:ascii="Arial" w:eastAsia="Arial" w:hAnsi="Arial" w:cs="Arial"/>
          <w:b/>
          <w:bCs/>
          <w:color w:val="auto"/>
          <w:sz w:val="22"/>
          <w:szCs w:val="22"/>
          <w:highlight w:val="white"/>
        </w:rPr>
      </w:pPr>
      <w:bookmarkStart w:id="0" w:name="_heading=h.63u9xzmkqzvs" w:colFirst="0" w:colLast="0"/>
      <w:bookmarkEnd w:id="0"/>
      <w:r w:rsidRPr="001D4BA1">
        <w:rPr>
          <w:rFonts w:ascii="Arial" w:eastAsia="Arial" w:hAnsi="Arial" w:cs="Arial"/>
          <w:b/>
          <w:bCs/>
          <w:color w:val="auto"/>
          <w:sz w:val="22"/>
          <w:szCs w:val="22"/>
          <w:highlight w:val="white"/>
        </w:rPr>
        <w:t>LA DIRECCIÓN DE INVESTIGACIONES Y CONTROL DE VIVIENDA DE LA SUBSECRETARÍA DE INSPECCIÓN, VIGILANCIA Y CONTROL DE VIVIENDA DE LA SECRETARÍA DISTRITAL DEL HÁBITAT</w:t>
      </w:r>
    </w:p>
    <w:p w14:paraId="0802A2EC" w14:textId="77777777" w:rsidR="00C11A9D" w:rsidRPr="001D4BA1" w:rsidRDefault="00C11A9D">
      <w:pPr>
        <w:jc w:val="center"/>
        <w:rPr>
          <w:rFonts w:ascii="Arial" w:eastAsia="Arial" w:hAnsi="Arial" w:cs="Arial"/>
          <w:sz w:val="22"/>
          <w:szCs w:val="22"/>
          <w:highlight w:val="white"/>
        </w:rPr>
      </w:pPr>
      <w:bookmarkStart w:id="1" w:name="_heading=h.tziib8mju948" w:colFirst="0" w:colLast="0"/>
      <w:bookmarkEnd w:id="1"/>
    </w:p>
    <w:p w14:paraId="6830DDF2" w14:textId="77777777" w:rsidR="00C11A9D" w:rsidRPr="001D4BA1" w:rsidRDefault="00E252DE">
      <w:pPr>
        <w:jc w:val="center"/>
        <w:rPr>
          <w:rFonts w:ascii="Arial" w:eastAsia="Arial" w:hAnsi="Arial" w:cs="Arial"/>
          <w:sz w:val="22"/>
          <w:szCs w:val="22"/>
          <w:highlight w:val="white"/>
        </w:rPr>
      </w:pPr>
      <w:r w:rsidRPr="001D4BA1">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35BF7F2E" w14:textId="77777777" w:rsidR="00C11A9D" w:rsidRPr="001D4BA1" w:rsidRDefault="00C11A9D">
      <w:pPr>
        <w:jc w:val="center"/>
        <w:rPr>
          <w:rFonts w:ascii="Arial" w:eastAsia="Arial" w:hAnsi="Arial" w:cs="Arial"/>
          <w:sz w:val="22"/>
          <w:szCs w:val="22"/>
          <w:highlight w:val="white"/>
        </w:rPr>
      </w:pPr>
    </w:p>
    <w:p w14:paraId="0E7EE1A1" w14:textId="77777777" w:rsidR="00C11A9D" w:rsidRPr="001D4BA1" w:rsidRDefault="00E252DE">
      <w:pPr>
        <w:jc w:val="center"/>
        <w:rPr>
          <w:rFonts w:ascii="Arial" w:eastAsia="Arial" w:hAnsi="Arial" w:cs="Arial"/>
          <w:b/>
          <w:bCs/>
          <w:sz w:val="22"/>
          <w:szCs w:val="22"/>
          <w:highlight w:val="white"/>
        </w:rPr>
      </w:pPr>
      <w:r w:rsidRPr="001D4BA1">
        <w:rPr>
          <w:rFonts w:ascii="Arial" w:eastAsia="Arial" w:hAnsi="Arial" w:cs="Arial"/>
          <w:b/>
          <w:bCs/>
          <w:sz w:val="22"/>
          <w:szCs w:val="22"/>
          <w:highlight w:val="white"/>
        </w:rPr>
        <w:t>CONSIDERANDO:</w:t>
      </w:r>
    </w:p>
    <w:p w14:paraId="34A28FC4" w14:textId="77777777" w:rsidR="00C11A9D" w:rsidRPr="001D4BA1" w:rsidRDefault="00C11A9D">
      <w:pPr>
        <w:jc w:val="both"/>
        <w:rPr>
          <w:rFonts w:ascii="Arial" w:eastAsia="Arial" w:hAnsi="Arial" w:cs="Arial"/>
          <w:sz w:val="22"/>
          <w:szCs w:val="22"/>
        </w:rPr>
      </w:pPr>
      <w:bookmarkStart w:id="2" w:name="_heading=h.vmq5jlsylcjh" w:colFirst="0" w:colLast="0"/>
      <w:bookmarkEnd w:id="2"/>
    </w:p>
    <w:p w14:paraId="5B722778" w14:textId="77777777" w:rsidR="00C11A9D" w:rsidRPr="001D4BA1" w:rsidRDefault="00E252DE">
      <w:pPr>
        <w:widowControl w:val="0"/>
        <w:pBdr>
          <w:top w:val="nil"/>
          <w:left w:val="nil"/>
          <w:bottom w:val="nil"/>
          <w:right w:val="nil"/>
          <w:between w:val="nil"/>
        </w:pBdr>
        <w:jc w:val="both"/>
        <w:rPr>
          <w:rFonts w:ascii="Arial" w:eastAsia="Arial" w:hAnsi="Arial" w:cs="Arial"/>
          <w:sz w:val="22"/>
          <w:szCs w:val="22"/>
        </w:rPr>
      </w:pPr>
      <w:r w:rsidRPr="001D4BA1">
        <w:rPr>
          <w:rFonts w:ascii="Arial" w:eastAsia="Arial" w:hAnsi="Arial" w:cs="Arial"/>
          <w:sz w:val="22"/>
          <w:szCs w:val="22"/>
        </w:rPr>
        <w:t>Que la Dirección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conoció de la queja presentada por el señor CESAR ANDRES ACOSTA REY, calidad de propietario del apartamento 811 del proyecto de vivienda EDIFCIO MONTERREY - PROPIEDAD HORIZONTAL, ubicado en la Carrera 59 A No. 136 - 25 de esta ciudad, con ocasión a las presuntas irregularidades existentes en las áreas privadas del inmueble en mención, contra la sociedad enajenadora INVERSIONES ALCABAMA S.A., identificada con el NIT. 800.208.146-3, representada legalmente por el señor ALBERTO BELLO DOMÍNGUEZ (o quien haga sus veces), actuación a la que le correspondió el radicado 1-2019-35268-62.</w:t>
      </w:r>
    </w:p>
    <w:p w14:paraId="45611B8F" w14:textId="77777777" w:rsidR="00C11A9D" w:rsidRPr="001D4BA1" w:rsidRDefault="00C11A9D">
      <w:pPr>
        <w:widowControl w:val="0"/>
        <w:pBdr>
          <w:top w:val="nil"/>
          <w:left w:val="nil"/>
          <w:bottom w:val="nil"/>
          <w:right w:val="nil"/>
          <w:between w:val="nil"/>
        </w:pBdr>
        <w:jc w:val="both"/>
        <w:rPr>
          <w:rFonts w:ascii="Arial" w:eastAsia="Arial" w:hAnsi="Arial" w:cs="Arial"/>
          <w:sz w:val="22"/>
          <w:szCs w:val="22"/>
        </w:rPr>
      </w:pPr>
    </w:p>
    <w:p w14:paraId="396B052E" w14:textId="04C43BEE" w:rsidR="00C11A9D" w:rsidRPr="001D4BA1" w:rsidRDefault="00E252DE">
      <w:pPr>
        <w:widowControl w:val="0"/>
        <w:pBdr>
          <w:top w:val="nil"/>
          <w:left w:val="nil"/>
          <w:bottom w:val="nil"/>
          <w:right w:val="nil"/>
          <w:between w:val="nil"/>
        </w:pBdr>
        <w:jc w:val="both"/>
        <w:rPr>
          <w:rFonts w:ascii="Arial" w:eastAsia="Arial" w:hAnsi="Arial" w:cs="Arial"/>
          <w:sz w:val="22"/>
          <w:szCs w:val="22"/>
        </w:rPr>
      </w:pPr>
      <w:bookmarkStart w:id="3" w:name="_heading=h.3znysh7" w:colFirst="0" w:colLast="0"/>
      <w:bookmarkEnd w:id="3"/>
      <w:r w:rsidRPr="001D4BA1">
        <w:rPr>
          <w:rFonts w:ascii="Arial" w:eastAsia="Arial" w:hAnsi="Arial" w:cs="Arial"/>
          <w:sz w:val="22"/>
          <w:szCs w:val="22"/>
        </w:rPr>
        <w:t>Que, una vez surtidas las actuaciones procesales pertinentes, esta Dirección, mediante Resolución No. 728 del 14 de junio de 2022, "</w:t>
      </w:r>
      <w:r w:rsidRPr="001D4BA1">
        <w:rPr>
          <w:rFonts w:ascii="Arial" w:eastAsia="Arial" w:hAnsi="Arial" w:cs="Arial"/>
          <w:i/>
          <w:iCs/>
          <w:sz w:val="22"/>
          <w:szCs w:val="22"/>
        </w:rPr>
        <w:t>Por la cual se impone una sanción y se imparte una orden</w:t>
      </w:r>
      <w:r w:rsidRPr="001D4BA1">
        <w:rPr>
          <w:rFonts w:ascii="Arial" w:eastAsia="Arial" w:hAnsi="Arial" w:cs="Arial"/>
          <w:sz w:val="22"/>
          <w:szCs w:val="22"/>
        </w:rPr>
        <w:t>", multó a la sociedad enajenadora INVERSIONES ALCABAMA S.A., identificada con el NIT. 800.208.146-3,</w:t>
      </w:r>
      <w:r w:rsidR="00652A4D">
        <w:rPr>
          <w:rFonts w:ascii="Arial" w:eastAsia="Arial" w:hAnsi="Arial" w:cs="Arial"/>
          <w:sz w:val="22"/>
          <w:szCs w:val="22"/>
        </w:rPr>
        <w:t xml:space="preserve"> </w:t>
      </w:r>
      <w:r w:rsidRPr="001D4BA1">
        <w:rPr>
          <w:rFonts w:ascii="Arial" w:eastAsia="Arial" w:hAnsi="Arial" w:cs="Arial"/>
          <w:sz w:val="22"/>
          <w:szCs w:val="22"/>
        </w:rPr>
        <w:t>con la suma de CUARENTA Y TRES MIL OCHOCIENTOS PESOS ($43.800.00) M/CTE, que indexados corresponden a la suma de SIETE MILLONES CUATROCIENTOS SETENTA Y DOS MIL VEINTISÉIS PESOS ($7.472.026) M/CTE.</w:t>
      </w:r>
    </w:p>
    <w:p w14:paraId="59B29372" w14:textId="77777777" w:rsidR="00C11A9D" w:rsidRPr="001D4BA1" w:rsidRDefault="00C11A9D">
      <w:pPr>
        <w:ind w:right="-92"/>
        <w:jc w:val="both"/>
        <w:rPr>
          <w:rFonts w:ascii="Arial" w:eastAsia="Arial" w:hAnsi="Arial" w:cs="Arial"/>
          <w:sz w:val="22"/>
          <w:szCs w:val="22"/>
        </w:rPr>
      </w:pPr>
    </w:p>
    <w:p w14:paraId="32CF5F2C" w14:textId="77777777" w:rsidR="00C11A9D" w:rsidRPr="001D4BA1" w:rsidRDefault="00E252DE">
      <w:pPr>
        <w:ind w:right="49"/>
        <w:jc w:val="both"/>
        <w:rPr>
          <w:rFonts w:ascii="Arial" w:eastAsia="Arial" w:hAnsi="Arial" w:cs="Arial"/>
          <w:sz w:val="22"/>
          <w:szCs w:val="22"/>
        </w:rPr>
      </w:pPr>
      <w:r w:rsidRPr="001D4BA1">
        <w:rPr>
          <w:rFonts w:ascii="Arial" w:eastAsia="Arial" w:hAnsi="Arial" w:cs="Arial"/>
          <w:sz w:val="22"/>
          <w:szCs w:val="22"/>
        </w:rPr>
        <w:t>Que, en los artículos segundo, tercero y cuarto de la Resolución No. 728 del 14 de julio de 2022, “</w:t>
      </w:r>
      <w:r w:rsidRPr="001D4BA1">
        <w:rPr>
          <w:rFonts w:ascii="Arial" w:eastAsia="Arial" w:hAnsi="Arial" w:cs="Arial"/>
          <w:i/>
          <w:iCs/>
          <w:sz w:val="22"/>
          <w:szCs w:val="22"/>
        </w:rPr>
        <w:t>Por la cual se impone una sanción y se imparte una orden</w:t>
      </w:r>
      <w:r w:rsidRPr="001D4BA1">
        <w:rPr>
          <w:rFonts w:ascii="Arial" w:eastAsia="Arial" w:hAnsi="Arial" w:cs="Arial"/>
          <w:sz w:val="22"/>
          <w:szCs w:val="22"/>
        </w:rPr>
        <w:t xml:space="preserve">”, se estableció: </w:t>
      </w:r>
    </w:p>
    <w:p w14:paraId="5882DDE5" w14:textId="77777777" w:rsidR="00C11A9D" w:rsidRPr="001D4BA1" w:rsidRDefault="00C11A9D">
      <w:pPr>
        <w:ind w:left="680" w:right="680"/>
        <w:jc w:val="both"/>
        <w:rPr>
          <w:rFonts w:ascii="Arial" w:eastAsia="Arial" w:hAnsi="Arial" w:cs="Arial"/>
          <w:b/>
          <w:bCs/>
          <w:i/>
          <w:iCs/>
          <w:sz w:val="22"/>
          <w:szCs w:val="22"/>
        </w:rPr>
      </w:pPr>
    </w:p>
    <w:p w14:paraId="2F877BE6" w14:textId="77777777" w:rsidR="00C11A9D" w:rsidRPr="001D4BA1" w:rsidRDefault="00E252DE" w:rsidP="00652A4D">
      <w:pPr>
        <w:ind w:left="680" w:right="-93"/>
        <w:jc w:val="both"/>
        <w:rPr>
          <w:rFonts w:ascii="Arial" w:eastAsia="Arial" w:hAnsi="Arial" w:cs="Arial"/>
          <w:i/>
          <w:iCs/>
          <w:sz w:val="22"/>
          <w:szCs w:val="22"/>
        </w:rPr>
      </w:pPr>
      <w:r w:rsidRPr="001D4BA1">
        <w:rPr>
          <w:rFonts w:ascii="Arial" w:eastAsia="Arial" w:hAnsi="Arial" w:cs="Arial"/>
          <w:b/>
          <w:bCs/>
          <w:i/>
          <w:iCs/>
          <w:sz w:val="22"/>
          <w:szCs w:val="22"/>
        </w:rPr>
        <w:t xml:space="preserve">"ARTICULO SEGUNDO: </w:t>
      </w:r>
      <w:r w:rsidRPr="001D4BA1">
        <w:rPr>
          <w:rFonts w:ascii="Arial" w:eastAsia="Arial" w:hAnsi="Arial" w:cs="Arial"/>
          <w:i/>
          <w:iCs/>
          <w:sz w:val="22"/>
          <w:szCs w:val="22"/>
        </w:rPr>
        <w:t xml:space="preserve">Requerir a la sociedad enajenadora INVERSIONES ALCABАМА S.A; identificada con NIT 800.208.146-3, representada legalmente por el señor ALBERTO BELLO DOMINGUEZ (o quien haga sus veces), para que dentro de DIECIOCHO (18) MESES calendario siguiente a la ejecutoria del presente acto administrativo se acoja à la normatividad infringida, para lo cual deberá realizar los trabajos tendientes a solucionar en forma definitiva los hechos "2) Fisuras en enchapes de cocinas y baños", "3) Levantamiento de pisos en hall y cocina", "6) Humedales en ventanas", "1) Fisuras en muros de las habitaciones", "5) Fisuras en techos", y "4) Daño en puertas de habitaciones, baños y acceso", que se han venido presentando en las áreas privadas del apartamento 811 (garantizando el estado estructural del área privada en mención y de las zonas comunes) del EDIFICIO </w:t>
      </w:r>
      <w:r w:rsidRPr="001D4BA1">
        <w:rPr>
          <w:rFonts w:ascii="Arial" w:eastAsia="Arial" w:hAnsi="Arial" w:cs="Arial"/>
          <w:i/>
          <w:iCs/>
          <w:sz w:val="22"/>
          <w:szCs w:val="22"/>
        </w:rPr>
        <w:lastRenderedPageBreak/>
        <w:t xml:space="preserve">MONTERREY - PROPIEDAD HORIZONTAL, ya que dichas afectaciones constituyen deficiencias constructivas graves y gravísimas respectivamente, conforme se evidencia en el Informe de Verificación de Hechos No. 21-183 del 24 de mayo de 2021; lo anterior en el evento de que dichos hechos no hayan sido intervenidos al momento de la expedición de la presente Resolución. </w:t>
      </w:r>
    </w:p>
    <w:p w14:paraId="7BA8FAFF" w14:textId="77777777" w:rsidR="00C11A9D" w:rsidRPr="001D4BA1" w:rsidRDefault="00C11A9D" w:rsidP="00652A4D">
      <w:pPr>
        <w:ind w:left="680" w:right="-93"/>
        <w:jc w:val="both"/>
        <w:rPr>
          <w:rFonts w:ascii="Arial" w:eastAsia="Arial" w:hAnsi="Arial" w:cs="Arial"/>
          <w:b/>
          <w:bCs/>
          <w:i/>
          <w:iCs/>
          <w:sz w:val="22"/>
          <w:szCs w:val="22"/>
        </w:rPr>
      </w:pPr>
    </w:p>
    <w:p w14:paraId="1CB1FDAD" w14:textId="77777777" w:rsidR="00C11A9D" w:rsidRPr="001D4BA1" w:rsidRDefault="00E252DE" w:rsidP="00652A4D">
      <w:pPr>
        <w:ind w:left="680" w:right="-93"/>
        <w:jc w:val="both"/>
        <w:rPr>
          <w:rFonts w:ascii="Arial" w:eastAsia="Arial" w:hAnsi="Arial" w:cs="Arial"/>
          <w:i/>
          <w:iCs/>
          <w:sz w:val="22"/>
          <w:szCs w:val="22"/>
        </w:rPr>
      </w:pPr>
      <w:r w:rsidRPr="001D4BA1">
        <w:rPr>
          <w:rFonts w:ascii="Arial" w:eastAsia="Arial" w:hAnsi="Arial" w:cs="Arial"/>
          <w:b/>
          <w:bCs/>
          <w:i/>
          <w:iCs/>
          <w:sz w:val="22"/>
          <w:szCs w:val="22"/>
        </w:rPr>
        <w:t>ARTICULO TERCERO:</w:t>
      </w:r>
      <w:r w:rsidRPr="001D4BA1">
        <w:rPr>
          <w:rFonts w:ascii="Arial" w:eastAsia="Arial" w:hAnsi="Arial" w:cs="Arial"/>
          <w:i/>
          <w:iCs/>
          <w:sz w:val="22"/>
          <w:szCs w:val="22"/>
        </w:rPr>
        <w:t xml:space="preserve"> Ordenar a la sociedad enajenadora INVERSIONES ALCABAMA S.A; identificada con NIT 800.208.146-3, representada legalmente por el señor ALBERTO BELLO DOMINGUEZ (o quien haga sus veces), para que dentro de los diez (10) días (hábiles) siguientes al cumplimiento del término dado en el artículo anterior, acredite ante este despacho la realización de labores de corrección sobre el citado hecho.</w:t>
      </w:r>
    </w:p>
    <w:p w14:paraId="735DA50B" w14:textId="77777777" w:rsidR="00C11A9D" w:rsidRPr="001D4BA1" w:rsidRDefault="00C11A9D" w:rsidP="00652A4D">
      <w:pPr>
        <w:ind w:left="709" w:right="-93"/>
        <w:jc w:val="both"/>
        <w:rPr>
          <w:rFonts w:ascii="Arial" w:eastAsia="Arial" w:hAnsi="Arial" w:cs="Arial"/>
          <w:b/>
          <w:bCs/>
          <w:i/>
          <w:iCs/>
          <w:sz w:val="22"/>
          <w:szCs w:val="22"/>
        </w:rPr>
      </w:pPr>
    </w:p>
    <w:p w14:paraId="6A9196F9" w14:textId="77777777" w:rsidR="00C11A9D" w:rsidRPr="001D4BA1" w:rsidRDefault="00E252DE" w:rsidP="00652A4D">
      <w:pPr>
        <w:ind w:left="680" w:right="-93"/>
        <w:jc w:val="both"/>
        <w:rPr>
          <w:rFonts w:ascii="Arial" w:eastAsia="Arial" w:hAnsi="Arial" w:cs="Arial"/>
          <w:i/>
          <w:sz w:val="22"/>
          <w:szCs w:val="22"/>
        </w:rPr>
      </w:pPr>
      <w:r w:rsidRPr="001D4BA1">
        <w:rPr>
          <w:rFonts w:ascii="Arial" w:eastAsia="Arial" w:hAnsi="Arial" w:cs="Arial"/>
          <w:b/>
          <w:bCs/>
          <w:i/>
          <w:sz w:val="22"/>
          <w:szCs w:val="22"/>
        </w:rPr>
        <w:t>ARTÍCULO CUARTO:</w:t>
      </w:r>
      <w:r w:rsidRPr="001D4BA1">
        <w:rPr>
          <w:rFonts w:ascii="Arial" w:eastAsia="Arial" w:hAnsi="Arial" w:cs="Arial"/>
          <w:i/>
          <w:sz w:val="22"/>
          <w:szCs w:val="22"/>
        </w:rPr>
        <w:t xml:space="preserve">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numeral 9 del artículo 2º del Decreto Ley 078 de 1987.</w:t>
      </w:r>
    </w:p>
    <w:p w14:paraId="6E59B196" w14:textId="77777777" w:rsidR="00C11A9D" w:rsidRPr="001D4BA1" w:rsidRDefault="00C11A9D">
      <w:pPr>
        <w:ind w:left="709" w:right="50"/>
        <w:jc w:val="both"/>
        <w:rPr>
          <w:rFonts w:ascii="Arial" w:eastAsia="Arial" w:hAnsi="Arial" w:cs="Arial"/>
          <w:i/>
          <w:iCs/>
          <w:sz w:val="22"/>
          <w:szCs w:val="22"/>
        </w:rPr>
      </w:pPr>
    </w:p>
    <w:p w14:paraId="01FEAD40" w14:textId="44E3A0B8" w:rsidR="00C11A9D" w:rsidRPr="001D4BA1" w:rsidRDefault="00E252DE">
      <w:pPr>
        <w:ind w:right="-92"/>
        <w:jc w:val="both"/>
        <w:rPr>
          <w:rFonts w:ascii="Arial" w:eastAsia="Arial" w:hAnsi="Arial" w:cs="Arial"/>
          <w:sz w:val="22"/>
          <w:szCs w:val="22"/>
        </w:rPr>
      </w:pPr>
      <w:r w:rsidRPr="001D4BA1">
        <w:rPr>
          <w:rFonts w:ascii="Arial" w:eastAsia="Arial" w:hAnsi="Arial" w:cs="Arial"/>
          <w:sz w:val="22"/>
          <w:szCs w:val="22"/>
        </w:rPr>
        <w:t>Que, una vez notificado el precitado acto administrativo, mediante memorial radicado No. 1-2022-31030 del 21 de julio de 2022 la sociedad enajenadora INVERSIONES ALCABAMA S.A</w:t>
      </w:r>
      <w:r w:rsidR="00652A4D">
        <w:rPr>
          <w:rFonts w:ascii="Arial" w:eastAsia="Arial" w:hAnsi="Arial" w:cs="Arial"/>
          <w:sz w:val="22"/>
          <w:szCs w:val="22"/>
        </w:rPr>
        <w:t>.,</w:t>
      </w:r>
      <w:r w:rsidRPr="001D4BA1">
        <w:rPr>
          <w:rFonts w:ascii="Arial" w:eastAsia="Arial" w:hAnsi="Arial" w:cs="Arial"/>
          <w:sz w:val="22"/>
          <w:szCs w:val="22"/>
        </w:rPr>
        <w:t xml:space="preserve"> interpuso recurso de reposición y en subsidio apelación en contra de la R</w:t>
      </w:r>
      <w:r w:rsidR="00652A4D">
        <w:rPr>
          <w:rFonts w:ascii="Arial" w:eastAsia="Arial" w:hAnsi="Arial" w:cs="Arial"/>
          <w:sz w:val="22"/>
          <w:szCs w:val="22"/>
        </w:rPr>
        <w:t xml:space="preserve">esolución </w:t>
      </w:r>
      <w:r w:rsidRPr="001D4BA1">
        <w:rPr>
          <w:rFonts w:ascii="Arial" w:eastAsia="Arial" w:hAnsi="Arial" w:cs="Arial"/>
          <w:sz w:val="22"/>
          <w:szCs w:val="22"/>
        </w:rPr>
        <w:t>No.728 del 14 de junio de 2022 “</w:t>
      </w:r>
      <w:r w:rsidRPr="001D4BA1">
        <w:rPr>
          <w:rFonts w:ascii="Arial" w:eastAsia="Arial" w:hAnsi="Arial" w:cs="Arial"/>
          <w:i/>
          <w:iCs/>
          <w:sz w:val="22"/>
          <w:szCs w:val="22"/>
        </w:rPr>
        <w:t>Por la cual se impone una sanción y se imparte una orden</w:t>
      </w:r>
      <w:r w:rsidRPr="001D4BA1">
        <w:rPr>
          <w:rFonts w:ascii="Arial" w:eastAsia="Arial" w:hAnsi="Arial" w:cs="Arial"/>
          <w:sz w:val="22"/>
          <w:szCs w:val="22"/>
        </w:rPr>
        <w:t xml:space="preserve">”. </w:t>
      </w:r>
    </w:p>
    <w:p w14:paraId="224916FD" w14:textId="77777777" w:rsidR="00C11A9D" w:rsidRPr="001D4BA1" w:rsidRDefault="00C11A9D">
      <w:pPr>
        <w:ind w:right="-92"/>
        <w:jc w:val="both"/>
        <w:rPr>
          <w:rFonts w:ascii="Arial" w:eastAsia="Arial" w:hAnsi="Arial" w:cs="Arial"/>
          <w:sz w:val="22"/>
          <w:szCs w:val="22"/>
        </w:rPr>
      </w:pPr>
    </w:p>
    <w:p w14:paraId="6903BE3A" w14:textId="013AC70B" w:rsidR="00C11A9D" w:rsidRPr="001D4BA1" w:rsidRDefault="00E252DE">
      <w:pPr>
        <w:ind w:right="-92"/>
        <w:jc w:val="both"/>
        <w:rPr>
          <w:rFonts w:ascii="Arial" w:eastAsia="Arial" w:hAnsi="Arial" w:cs="Arial"/>
          <w:sz w:val="22"/>
          <w:szCs w:val="22"/>
        </w:rPr>
      </w:pPr>
      <w:r w:rsidRPr="001D4BA1">
        <w:rPr>
          <w:rFonts w:ascii="Arial" w:eastAsia="Arial" w:hAnsi="Arial" w:cs="Arial"/>
          <w:sz w:val="22"/>
          <w:szCs w:val="22"/>
        </w:rPr>
        <w:t>Que a través de la Resolución No. 2753 del 19 de octubre de 2022 resolvió el recurso de reposición interpuesto</w:t>
      </w:r>
      <w:r w:rsidR="00F825AF">
        <w:rPr>
          <w:rFonts w:ascii="Arial" w:eastAsia="Arial" w:hAnsi="Arial" w:cs="Arial"/>
          <w:sz w:val="22"/>
          <w:szCs w:val="22"/>
        </w:rPr>
        <w:t xml:space="preserve"> y </w:t>
      </w:r>
      <w:r w:rsidRPr="001D4BA1">
        <w:rPr>
          <w:rFonts w:ascii="Arial" w:eastAsia="Arial" w:hAnsi="Arial" w:cs="Arial"/>
          <w:sz w:val="22"/>
          <w:szCs w:val="22"/>
        </w:rPr>
        <w:t xml:space="preserve">la Resolución No. 122 del 22 de febrero de 2023 resolvió el recurso de apelación, </w:t>
      </w:r>
      <w:r w:rsidR="00F825AF">
        <w:rPr>
          <w:rFonts w:ascii="Arial" w:eastAsia="Arial" w:hAnsi="Arial" w:cs="Arial"/>
          <w:sz w:val="22"/>
          <w:szCs w:val="22"/>
        </w:rPr>
        <w:t xml:space="preserve">los cuales confirmaron </w:t>
      </w:r>
      <w:r w:rsidRPr="001D4BA1">
        <w:rPr>
          <w:rFonts w:ascii="Arial" w:eastAsia="Arial" w:hAnsi="Arial" w:cs="Arial"/>
          <w:sz w:val="22"/>
          <w:szCs w:val="22"/>
        </w:rPr>
        <w:t>en todas sus partes la</w:t>
      </w:r>
      <w:r w:rsidRPr="001D4BA1">
        <w:t xml:space="preserve"> </w:t>
      </w:r>
      <w:r w:rsidRPr="001D4BA1">
        <w:rPr>
          <w:rFonts w:ascii="Arial" w:eastAsia="Arial" w:hAnsi="Arial" w:cs="Arial"/>
          <w:sz w:val="22"/>
          <w:szCs w:val="22"/>
        </w:rPr>
        <w:t>Resolución No.728 del 14 de junio de 2022</w:t>
      </w:r>
      <w:r w:rsidR="00F825AF">
        <w:rPr>
          <w:rFonts w:ascii="Arial" w:eastAsia="Arial" w:hAnsi="Arial" w:cs="Arial"/>
          <w:sz w:val="22"/>
          <w:szCs w:val="22"/>
        </w:rPr>
        <w:t xml:space="preserve">, acto seguido, </w:t>
      </w:r>
      <w:r w:rsidRPr="001D4BA1">
        <w:rPr>
          <w:rFonts w:ascii="Arial" w:eastAsia="Arial" w:hAnsi="Arial" w:cs="Arial"/>
          <w:sz w:val="22"/>
          <w:szCs w:val="22"/>
        </w:rPr>
        <w:t>quedó debidamente ejecutoriada el día veintinueve (29) de marzo de 2023.</w:t>
      </w:r>
    </w:p>
    <w:p w14:paraId="4FA5B181" w14:textId="77777777" w:rsidR="00C11A9D" w:rsidRPr="001D4BA1" w:rsidRDefault="00C11A9D">
      <w:pPr>
        <w:ind w:right="-92"/>
        <w:jc w:val="both"/>
        <w:rPr>
          <w:rFonts w:ascii="Arial" w:eastAsia="Arial" w:hAnsi="Arial" w:cs="Arial"/>
          <w:sz w:val="22"/>
          <w:szCs w:val="22"/>
        </w:rPr>
      </w:pPr>
    </w:p>
    <w:p w14:paraId="22977410" w14:textId="77777777" w:rsidR="00C11A9D" w:rsidRPr="001D4BA1" w:rsidRDefault="00E252DE">
      <w:pPr>
        <w:ind w:right="-92"/>
        <w:jc w:val="both"/>
        <w:rPr>
          <w:rFonts w:ascii="Arial" w:eastAsia="Arial" w:hAnsi="Arial" w:cs="Arial"/>
          <w:sz w:val="22"/>
          <w:szCs w:val="22"/>
        </w:rPr>
      </w:pPr>
      <w:r w:rsidRPr="001D4BA1">
        <w:rPr>
          <w:rFonts w:ascii="Arial" w:eastAsia="Arial" w:hAnsi="Arial" w:cs="Arial"/>
          <w:sz w:val="22"/>
          <w:szCs w:val="22"/>
        </w:rPr>
        <w:t>Que mediante radicados 2-2024-46124 y 2-2024-46261 del 07 de octubre de 2024, este Despacho requiere tanto a la parte quejosa como a la sociedad enajenadora en lo concerniente al cumplimiento de la orden impuesta por la Resolución No. 728 del 14 de junio de 2022.</w:t>
      </w:r>
    </w:p>
    <w:p w14:paraId="274C4741" w14:textId="77777777" w:rsidR="00C11A9D" w:rsidRPr="001D4BA1" w:rsidRDefault="00C11A9D">
      <w:pPr>
        <w:ind w:right="-92"/>
        <w:jc w:val="both"/>
        <w:rPr>
          <w:rFonts w:ascii="Arial" w:eastAsia="Arial" w:hAnsi="Arial" w:cs="Arial"/>
          <w:sz w:val="22"/>
          <w:szCs w:val="22"/>
        </w:rPr>
      </w:pPr>
    </w:p>
    <w:p w14:paraId="3456605B" w14:textId="06C4236A" w:rsidR="00C11A9D" w:rsidRPr="001D4BA1" w:rsidRDefault="00E252DE">
      <w:pPr>
        <w:ind w:right="-92"/>
        <w:jc w:val="both"/>
        <w:rPr>
          <w:rFonts w:ascii="Arial" w:eastAsia="Arial" w:hAnsi="Arial" w:cs="Arial"/>
          <w:sz w:val="22"/>
          <w:szCs w:val="22"/>
        </w:rPr>
      </w:pPr>
      <w:r w:rsidRPr="001D4BA1">
        <w:rPr>
          <w:rFonts w:ascii="Arial" w:eastAsia="Arial" w:hAnsi="Arial" w:cs="Arial"/>
          <w:sz w:val="22"/>
          <w:szCs w:val="22"/>
        </w:rPr>
        <w:t xml:space="preserve">En </w:t>
      </w:r>
      <w:r w:rsidR="009172FE">
        <w:rPr>
          <w:rFonts w:ascii="Arial" w:eastAsia="Arial" w:hAnsi="Arial" w:cs="Arial"/>
          <w:sz w:val="22"/>
          <w:szCs w:val="22"/>
        </w:rPr>
        <w:t>cumplimiento de las funciones de seguimiento</w:t>
      </w:r>
      <w:r w:rsidRPr="001D4BA1">
        <w:rPr>
          <w:rFonts w:ascii="Arial" w:eastAsia="Arial" w:hAnsi="Arial" w:cs="Arial"/>
          <w:sz w:val="22"/>
          <w:szCs w:val="22"/>
        </w:rPr>
        <w:t>, se trasladó el expediente para visita de verificación de hechos, así las cosas, mediante radicados 2-2025-35641 y 2-2025-35643 del 04 de julio de 2025, informó tanto a la parte quejosa como a la sociedad enajenadora, de la visita de carácter técnico que se llevaría a cabo el día 16 de julio de 2025</w:t>
      </w:r>
      <w:r w:rsidR="009172FE">
        <w:rPr>
          <w:rFonts w:ascii="Arial" w:eastAsia="Arial" w:hAnsi="Arial" w:cs="Arial"/>
          <w:sz w:val="22"/>
          <w:szCs w:val="22"/>
        </w:rPr>
        <w:t>,</w:t>
      </w:r>
      <w:r w:rsidRPr="001D4BA1">
        <w:rPr>
          <w:rFonts w:ascii="Arial" w:eastAsia="Arial" w:hAnsi="Arial" w:cs="Arial"/>
          <w:sz w:val="22"/>
          <w:szCs w:val="22"/>
        </w:rPr>
        <w:t xml:space="preserve"> en el inmueble objeto de la queja.</w:t>
      </w:r>
    </w:p>
    <w:p w14:paraId="70BB516E" w14:textId="77777777" w:rsidR="00C11A9D" w:rsidRPr="001D4BA1" w:rsidRDefault="00C11A9D">
      <w:pPr>
        <w:ind w:right="-92"/>
        <w:jc w:val="both"/>
        <w:rPr>
          <w:rFonts w:ascii="Arial" w:eastAsia="Arial" w:hAnsi="Arial" w:cs="Arial"/>
          <w:sz w:val="22"/>
          <w:szCs w:val="22"/>
        </w:rPr>
      </w:pPr>
    </w:p>
    <w:p w14:paraId="5D2FE903" w14:textId="095E806B" w:rsidR="00C11A9D" w:rsidRPr="001D4BA1" w:rsidRDefault="00E252DE">
      <w:pPr>
        <w:ind w:right="-92"/>
        <w:jc w:val="both"/>
        <w:rPr>
          <w:rFonts w:ascii="Arial" w:eastAsia="Arial" w:hAnsi="Arial" w:cs="Arial"/>
          <w:sz w:val="22"/>
          <w:szCs w:val="22"/>
        </w:rPr>
      </w:pPr>
      <w:r w:rsidRPr="001D4BA1">
        <w:rPr>
          <w:rFonts w:ascii="Arial" w:eastAsia="Arial" w:hAnsi="Arial" w:cs="Arial"/>
          <w:sz w:val="22"/>
          <w:szCs w:val="22"/>
        </w:rPr>
        <w:lastRenderedPageBreak/>
        <w:t>Que, efectuada la visita de verificación de hechos, en donde asistieron la señora STEPHANIE COHEN CARRILLO en calidad de propietario del apartamento 811 y el señor ALEX MAURICIO GUTIOERREZ RODRIGUEZ en calidad de apoderado de la sociedad enajenadora INVERSIONES ALCABAMA S.A</w:t>
      </w:r>
      <w:r w:rsidR="009172FE">
        <w:rPr>
          <w:rFonts w:ascii="Arial" w:eastAsia="Arial" w:hAnsi="Arial" w:cs="Arial"/>
          <w:sz w:val="22"/>
          <w:szCs w:val="22"/>
        </w:rPr>
        <w:t>.</w:t>
      </w:r>
      <w:r w:rsidRPr="001D4BA1">
        <w:rPr>
          <w:rFonts w:ascii="Arial" w:eastAsia="Arial" w:hAnsi="Arial" w:cs="Arial"/>
          <w:sz w:val="22"/>
          <w:szCs w:val="22"/>
        </w:rPr>
        <w:t xml:space="preserve">, visita de la cual se derivó Informe Verificación De Hechos No. 25-366 del 20 de agosto de 2025, que evidenció </w:t>
      </w:r>
      <w:r w:rsidR="009172FE">
        <w:rPr>
          <w:rFonts w:ascii="Arial" w:eastAsia="Arial" w:hAnsi="Arial" w:cs="Arial"/>
          <w:sz w:val="22"/>
          <w:szCs w:val="22"/>
        </w:rPr>
        <w:t>algunos hechos fueron subsanados por el quejoso.</w:t>
      </w:r>
      <w:r w:rsidRPr="001D4BA1">
        <w:rPr>
          <w:rFonts w:ascii="Arial" w:eastAsia="Arial" w:hAnsi="Arial" w:cs="Arial"/>
          <w:sz w:val="22"/>
          <w:szCs w:val="22"/>
        </w:rPr>
        <w:t xml:space="preserve"> </w:t>
      </w:r>
    </w:p>
    <w:p w14:paraId="35EDC798" w14:textId="77777777" w:rsidR="00C11A9D" w:rsidRPr="001D4BA1" w:rsidRDefault="00C11A9D">
      <w:pPr>
        <w:ind w:right="-92"/>
        <w:jc w:val="both"/>
        <w:rPr>
          <w:rFonts w:ascii="Arial" w:eastAsia="Arial" w:hAnsi="Arial" w:cs="Arial"/>
          <w:sz w:val="22"/>
          <w:szCs w:val="22"/>
        </w:rPr>
      </w:pPr>
    </w:p>
    <w:p w14:paraId="7E0EF113" w14:textId="77777777" w:rsidR="00C11A9D" w:rsidRPr="001D4BA1" w:rsidRDefault="00E252DE">
      <w:pPr>
        <w:ind w:right="-92"/>
        <w:jc w:val="both"/>
        <w:rPr>
          <w:rFonts w:ascii="Arial" w:eastAsia="Arial" w:hAnsi="Arial" w:cs="Arial"/>
          <w:sz w:val="22"/>
          <w:szCs w:val="22"/>
        </w:rPr>
      </w:pPr>
      <w:r w:rsidRPr="001D4BA1">
        <w:rPr>
          <w:rFonts w:ascii="Arial" w:eastAsia="Arial" w:hAnsi="Arial" w:cs="Arial"/>
          <w:sz w:val="22"/>
          <w:szCs w:val="22"/>
        </w:rPr>
        <w:t>Que, mediante oficio de radicado 2-2025-58243 del 23 de septiembre de 2025, se dio traslado del Informe Verificación De Hechos No. 25-366 20 de agosto de 2025 al representante legal (o quien haga sus veces) de la sociedad enajenadora INVERSIONES ALCABAMA S.A, ante lo cual no se pronunció.</w:t>
      </w:r>
    </w:p>
    <w:p w14:paraId="1E436475" w14:textId="77777777" w:rsidR="00C11A9D" w:rsidRPr="001D4BA1" w:rsidRDefault="00C11A9D">
      <w:pPr>
        <w:ind w:right="-92"/>
        <w:jc w:val="both"/>
        <w:rPr>
          <w:rFonts w:ascii="Arial" w:eastAsia="Arial" w:hAnsi="Arial" w:cs="Arial"/>
          <w:sz w:val="22"/>
          <w:szCs w:val="22"/>
        </w:rPr>
      </w:pPr>
    </w:p>
    <w:p w14:paraId="1A71AE67" w14:textId="5EC054C7" w:rsidR="00C11A9D" w:rsidRPr="001D4BA1" w:rsidRDefault="00E252DE">
      <w:pPr>
        <w:ind w:right="-92"/>
        <w:jc w:val="both"/>
        <w:rPr>
          <w:rFonts w:ascii="Arial" w:eastAsia="Arial" w:hAnsi="Arial" w:cs="Arial"/>
          <w:sz w:val="22"/>
          <w:szCs w:val="22"/>
        </w:rPr>
      </w:pPr>
      <w:r w:rsidRPr="001D4BA1">
        <w:rPr>
          <w:rFonts w:ascii="Arial" w:eastAsia="Arial" w:hAnsi="Arial" w:cs="Arial"/>
          <w:sz w:val="22"/>
          <w:szCs w:val="22"/>
        </w:rPr>
        <w:t xml:space="preserve">Que igualmente, mediante oficio de radicado 2-2025-62057 del 03 de octubre de 2025, se dio traslado del Informe Verificación </w:t>
      </w:r>
      <w:r w:rsidR="009172FE">
        <w:rPr>
          <w:rFonts w:ascii="Arial" w:eastAsia="Arial" w:hAnsi="Arial" w:cs="Arial"/>
          <w:sz w:val="22"/>
          <w:szCs w:val="22"/>
        </w:rPr>
        <w:t>d</w:t>
      </w:r>
      <w:r w:rsidRPr="001D4BA1">
        <w:rPr>
          <w:rFonts w:ascii="Arial" w:eastAsia="Arial" w:hAnsi="Arial" w:cs="Arial"/>
          <w:sz w:val="22"/>
          <w:szCs w:val="22"/>
        </w:rPr>
        <w:t xml:space="preserve">e Hechos No. 25-366 20 de agosto de 2025 al propietario </w:t>
      </w:r>
      <w:r w:rsidR="009172FE" w:rsidRPr="001D4BA1">
        <w:rPr>
          <w:rFonts w:ascii="Arial" w:eastAsia="Arial" w:hAnsi="Arial" w:cs="Arial"/>
          <w:sz w:val="22"/>
          <w:szCs w:val="22"/>
        </w:rPr>
        <w:t xml:space="preserve">del apartamento 811 </w:t>
      </w:r>
      <w:r w:rsidRPr="001D4BA1">
        <w:rPr>
          <w:rFonts w:ascii="Arial" w:eastAsia="Arial" w:hAnsi="Arial" w:cs="Arial"/>
          <w:sz w:val="22"/>
          <w:szCs w:val="22"/>
        </w:rPr>
        <w:t xml:space="preserve">(o quien haga sus veces) del </w:t>
      </w:r>
      <w:r w:rsidR="009172FE" w:rsidRPr="001D4BA1">
        <w:rPr>
          <w:rFonts w:ascii="Arial" w:eastAsia="Arial" w:hAnsi="Arial" w:cs="Arial"/>
          <w:sz w:val="22"/>
          <w:szCs w:val="22"/>
        </w:rPr>
        <w:t>EDIFICIO MONTER</w:t>
      </w:r>
      <w:r w:rsidR="009172FE">
        <w:rPr>
          <w:rFonts w:ascii="Arial" w:eastAsia="Arial" w:hAnsi="Arial" w:cs="Arial"/>
          <w:sz w:val="22"/>
          <w:szCs w:val="22"/>
        </w:rPr>
        <w:t>R</w:t>
      </w:r>
      <w:r w:rsidR="009172FE" w:rsidRPr="001D4BA1">
        <w:rPr>
          <w:rFonts w:ascii="Arial" w:eastAsia="Arial" w:hAnsi="Arial" w:cs="Arial"/>
          <w:sz w:val="22"/>
          <w:szCs w:val="22"/>
        </w:rPr>
        <w:t>EY</w:t>
      </w:r>
      <w:r w:rsidRPr="001D4BA1">
        <w:rPr>
          <w:rFonts w:ascii="Arial" w:eastAsia="Arial" w:hAnsi="Arial" w:cs="Arial"/>
          <w:sz w:val="22"/>
          <w:szCs w:val="22"/>
        </w:rPr>
        <w:t>, ante lo cual no se pronunció.</w:t>
      </w:r>
    </w:p>
    <w:p w14:paraId="163C6D5A" w14:textId="77777777" w:rsidR="00C11A9D" w:rsidRPr="001D4BA1" w:rsidRDefault="00C11A9D">
      <w:pPr>
        <w:ind w:right="-92"/>
        <w:rPr>
          <w:rFonts w:ascii="Arial" w:eastAsia="Arial" w:hAnsi="Arial" w:cs="Arial"/>
          <w:sz w:val="22"/>
          <w:szCs w:val="22"/>
        </w:rPr>
      </w:pPr>
    </w:p>
    <w:p w14:paraId="273BD78F" w14:textId="77777777" w:rsidR="00C11A9D" w:rsidRPr="001D4BA1" w:rsidRDefault="00E252DE">
      <w:pPr>
        <w:ind w:right="-92"/>
        <w:jc w:val="both"/>
        <w:rPr>
          <w:rFonts w:ascii="Arial" w:eastAsia="Arial" w:hAnsi="Arial" w:cs="Arial"/>
          <w:sz w:val="22"/>
          <w:szCs w:val="22"/>
        </w:rPr>
      </w:pPr>
      <w:r w:rsidRPr="001D4BA1">
        <w:rPr>
          <w:rFonts w:ascii="Arial" w:eastAsia="Arial" w:hAnsi="Arial" w:cs="Arial"/>
          <w:sz w:val="22"/>
          <w:szCs w:val="22"/>
        </w:rPr>
        <w:t>En razón a lo aquí expuesto, este Despacho procederá a determinar si resulta procedente la imposición de multas sucesivas ante la carencia de acreditación del cumplimiento de las órdenes de hacer impuestas mediante Resolución No. 728 del 14 de junio de 2022, de conformidad a lo expuesto en el inciso segundo, numeral 9° del artículo 2° del Decreto Ley 078 de 1987.</w:t>
      </w:r>
    </w:p>
    <w:p w14:paraId="3DC955D3" w14:textId="77777777" w:rsidR="00C11A9D" w:rsidRPr="001D4BA1" w:rsidRDefault="00C11A9D">
      <w:pPr>
        <w:pBdr>
          <w:top w:val="nil"/>
          <w:left w:val="nil"/>
          <w:bottom w:val="nil"/>
          <w:right w:val="nil"/>
          <w:between w:val="nil"/>
        </w:pBdr>
        <w:ind w:left="-284" w:right="-92"/>
        <w:jc w:val="center"/>
        <w:rPr>
          <w:rFonts w:ascii="Arial" w:eastAsia="Arial" w:hAnsi="Arial" w:cs="Arial"/>
          <w:b/>
          <w:bCs/>
          <w:sz w:val="22"/>
          <w:szCs w:val="22"/>
        </w:rPr>
      </w:pPr>
    </w:p>
    <w:p w14:paraId="6FEE676D" w14:textId="77777777" w:rsidR="00C11A9D" w:rsidRPr="001D4BA1" w:rsidRDefault="00E252DE">
      <w:pPr>
        <w:pBdr>
          <w:top w:val="nil"/>
          <w:left w:val="nil"/>
          <w:bottom w:val="nil"/>
          <w:right w:val="nil"/>
          <w:between w:val="nil"/>
        </w:pBdr>
        <w:ind w:left="-284" w:right="-92"/>
        <w:jc w:val="center"/>
        <w:rPr>
          <w:rFonts w:ascii="Arial" w:eastAsia="Arial" w:hAnsi="Arial" w:cs="Arial"/>
          <w:b/>
          <w:bCs/>
          <w:sz w:val="22"/>
          <w:szCs w:val="22"/>
        </w:rPr>
      </w:pPr>
      <w:r w:rsidRPr="001D4BA1">
        <w:rPr>
          <w:rFonts w:ascii="Arial" w:eastAsia="Arial" w:hAnsi="Arial" w:cs="Arial"/>
          <w:b/>
          <w:bCs/>
          <w:sz w:val="22"/>
          <w:szCs w:val="22"/>
        </w:rPr>
        <w:t>CONSIDERACIONES DEL DESPACHO</w:t>
      </w:r>
    </w:p>
    <w:p w14:paraId="2802B064" w14:textId="77777777" w:rsidR="00C11A9D" w:rsidRPr="001D4BA1" w:rsidRDefault="00C11A9D">
      <w:pPr>
        <w:pBdr>
          <w:top w:val="nil"/>
          <w:left w:val="nil"/>
          <w:bottom w:val="nil"/>
          <w:right w:val="nil"/>
          <w:between w:val="nil"/>
        </w:pBdr>
        <w:ind w:left="-284" w:right="-92"/>
        <w:jc w:val="center"/>
        <w:rPr>
          <w:rFonts w:ascii="Arial" w:eastAsia="Arial" w:hAnsi="Arial" w:cs="Arial"/>
          <w:b/>
          <w:bCs/>
          <w:sz w:val="22"/>
          <w:szCs w:val="22"/>
        </w:rPr>
      </w:pPr>
    </w:p>
    <w:p w14:paraId="0A35C678" w14:textId="77777777" w:rsidR="00C11A9D" w:rsidRPr="001D4BA1" w:rsidRDefault="00E252DE">
      <w:pPr>
        <w:ind w:right="-92"/>
        <w:jc w:val="both"/>
        <w:rPr>
          <w:rFonts w:ascii="Arial" w:eastAsia="Arial" w:hAnsi="Arial" w:cs="Arial"/>
          <w:sz w:val="22"/>
          <w:szCs w:val="22"/>
        </w:rPr>
      </w:pPr>
      <w:r w:rsidRPr="001D4BA1">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078 de 1987 y demás normas concordantes, se ejerce sobre las personas naturales o jurídicas que desarrollen la actividad de enajenación de vivienda en el Distrito, con el propósito de resguardar el orden social y amparar la observancia de la ley.</w:t>
      </w:r>
    </w:p>
    <w:p w14:paraId="4C0BB0C6" w14:textId="77777777" w:rsidR="00C11A9D" w:rsidRPr="001D4BA1" w:rsidRDefault="00C11A9D">
      <w:pPr>
        <w:ind w:right="-92"/>
        <w:jc w:val="both"/>
        <w:rPr>
          <w:rFonts w:ascii="Arial" w:eastAsia="Arial" w:hAnsi="Arial" w:cs="Arial"/>
          <w:sz w:val="22"/>
          <w:szCs w:val="22"/>
        </w:rPr>
      </w:pPr>
    </w:p>
    <w:p w14:paraId="77898B32" w14:textId="77777777" w:rsidR="00C11A9D" w:rsidRPr="001D4BA1" w:rsidRDefault="00E252DE">
      <w:pPr>
        <w:jc w:val="both"/>
        <w:rPr>
          <w:rFonts w:ascii="Arial" w:eastAsia="Arial" w:hAnsi="Arial" w:cs="Arial"/>
          <w:sz w:val="22"/>
          <w:szCs w:val="22"/>
        </w:rPr>
      </w:pPr>
      <w:r w:rsidRPr="001D4BA1">
        <w:rPr>
          <w:rFonts w:ascii="Arial" w:eastAsia="Arial" w:hAnsi="Arial" w:cs="Arial"/>
          <w:sz w:val="22"/>
          <w:szCs w:val="22"/>
        </w:rPr>
        <w:t>Bajo este entendido, el artículo 111 del Decreto 653 de 2025 establece que los hechos relacionados con la existencia de deficiencias constructivas o el desmejoramiento de especificaciones técnicas deberán sancionarse por la Subsecretaría de Inspección, Vigilancia y Control de Vivienda, o por la autoridad que haga sus veces; motivo por el cual, en ejercicio de dichas funciones esta Entidad procedió a imponer sanción mediante la  Resolución No. 728 del 14 de junio de 2022,  “</w:t>
      </w:r>
      <w:r w:rsidRPr="001D4BA1">
        <w:rPr>
          <w:rFonts w:ascii="Arial" w:eastAsia="Arial" w:hAnsi="Arial" w:cs="Arial"/>
          <w:i/>
          <w:iCs/>
          <w:sz w:val="22"/>
          <w:szCs w:val="22"/>
        </w:rPr>
        <w:t>Por la cual se impone una sanción y se imparte una orden</w:t>
      </w:r>
      <w:r w:rsidRPr="001D4BA1">
        <w:rPr>
          <w:rFonts w:ascii="Arial" w:eastAsia="Arial" w:hAnsi="Arial" w:cs="Arial"/>
          <w:sz w:val="22"/>
          <w:szCs w:val="22"/>
        </w:rPr>
        <w:t>”, a la sociedad enajenadora INVERSIONES ALCABAMA S.A., consistente en multa y orden de hacer, la cual debía ser cumplida dentro del plazo fijado contado a partir de la ejecutoria de esta.</w:t>
      </w:r>
    </w:p>
    <w:p w14:paraId="72ADF340" w14:textId="77777777" w:rsidR="00C11A9D" w:rsidRPr="001D4BA1" w:rsidRDefault="00C11A9D">
      <w:pPr>
        <w:ind w:right="-92"/>
        <w:jc w:val="both"/>
        <w:rPr>
          <w:rFonts w:ascii="Arial" w:eastAsia="Arial" w:hAnsi="Arial" w:cs="Arial"/>
          <w:sz w:val="22"/>
          <w:szCs w:val="22"/>
        </w:rPr>
      </w:pPr>
    </w:p>
    <w:p w14:paraId="1659C248" w14:textId="77777777" w:rsidR="00C11A9D" w:rsidRPr="001D4BA1" w:rsidRDefault="00E252DE">
      <w:pPr>
        <w:ind w:right="-92"/>
        <w:jc w:val="both"/>
        <w:rPr>
          <w:rFonts w:ascii="Arial" w:eastAsia="Arial" w:hAnsi="Arial" w:cs="Arial"/>
          <w:sz w:val="22"/>
          <w:szCs w:val="22"/>
        </w:rPr>
      </w:pPr>
      <w:r w:rsidRPr="001D4BA1">
        <w:rPr>
          <w:rFonts w:ascii="Arial" w:eastAsia="Arial" w:hAnsi="Arial" w:cs="Arial"/>
          <w:sz w:val="22"/>
          <w:szCs w:val="22"/>
        </w:rPr>
        <w:t xml:space="preserve">Ahora bien, el artículo 126 del Decreto 653 de 2025 señala que una vez ejecutoriada la actuación que imponga una orden a los enajenadores responsables del proyecto de vivienda, </w:t>
      </w:r>
      <w:r w:rsidRPr="001D4BA1">
        <w:rPr>
          <w:rFonts w:ascii="Arial" w:eastAsia="Arial" w:hAnsi="Arial" w:cs="Arial"/>
          <w:sz w:val="22"/>
          <w:szCs w:val="22"/>
        </w:rPr>
        <w:lastRenderedPageBreak/>
        <w:t>y superado el término dispuesto para su cumplimiento, se adelantará el SEGUIMIENTO A LA ORDEN para corroborar el cumplimiento del acto administrativo que la impuso.</w:t>
      </w:r>
    </w:p>
    <w:p w14:paraId="0C7F0A84" w14:textId="77777777" w:rsidR="00C11A9D" w:rsidRPr="001D4BA1" w:rsidRDefault="00C11A9D">
      <w:pPr>
        <w:ind w:right="-92"/>
        <w:jc w:val="both"/>
        <w:rPr>
          <w:rFonts w:ascii="Arial" w:eastAsia="Arial" w:hAnsi="Arial" w:cs="Arial"/>
          <w:sz w:val="22"/>
          <w:szCs w:val="22"/>
        </w:rPr>
      </w:pPr>
    </w:p>
    <w:p w14:paraId="00C332F0" w14:textId="77777777" w:rsidR="00C11A9D" w:rsidRPr="001D4BA1" w:rsidRDefault="00E252DE">
      <w:pPr>
        <w:pBdr>
          <w:top w:val="nil"/>
          <w:left w:val="nil"/>
          <w:bottom w:val="nil"/>
          <w:right w:val="nil"/>
          <w:between w:val="nil"/>
        </w:pBdr>
        <w:ind w:right="-92"/>
        <w:jc w:val="both"/>
        <w:rPr>
          <w:rFonts w:ascii="Arial" w:eastAsia="Arial" w:hAnsi="Arial" w:cs="Arial"/>
          <w:sz w:val="22"/>
          <w:szCs w:val="22"/>
        </w:rPr>
      </w:pPr>
      <w:r w:rsidRPr="001D4BA1">
        <w:rPr>
          <w:rFonts w:ascii="Arial" w:eastAsia="Arial" w:hAnsi="Arial" w:cs="Arial"/>
          <w:sz w:val="22"/>
          <w:szCs w:val="22"/>
        </w:rPr>
        <w:t xml:space="preserve">Visto lo anterior, el artículo 2, numeral 9 del Decreto Nacional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sidRPr="001D4BA1">
        <w:rPr>
          <w:rFonts w:ascii="Arial" w:eastAsia="Arial" w:hAnsi="Arial" w:cs="Arial"/>
          <w:b/>
          <w:bCs/>
          <w:sz w:val="22"/>
          <w:szCs w:val="22"/>
          <w:u w:val="single"/>
        </w:rPr>
        <w:t>incumplan las órdenes</w:t>
      </w:r>
      <w:r w:rsidRPr="001D4BA1">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5B85D184" w14:textId="77777777" w:rsidR="00C11A9D" w:rsidRPr="001D4BA1" w:rsidRDefault="00C11A9D">
      <w:pPr>
        <w:pBdr>
          <w:top w:val="nil"/>
          <w:left w:val="nil"/>
          <w:bottom w:val="nil"/>
          <w:right w:val="nil"/>
          <w:between w:val="nil"/>
        </w:pBdr>
        <w:ind w:left="720" w:right="-92"/>
        <w:jc w:val="both"/>
        <w:rPr>
          <w:rFonts w:ascii="Arial" w:eastAsia="Arial" w:hAnsi="Arial" w:cs="Arial"/>
          <w:sz w:val="22"/>
          <w:szCs w:val="22"/>
        </w:rPr>
      </w:pPr>
    </w:p>
    <w:p w14:paraId="37C394DD" w14:textId="77777777" w:rsidR="00C11A9D" w:rsidRPr="001D4BA1" w:rsidRDefault="00E252DE">
      <w:pPr>
        <w:jc w:val="both"/>
        <w:rPr>
          <w:rFonts w:ascii="Arial" w:eastAsia="Arial" w:hAnsi="Arial" w:cs="Arial"/>
          <w:sz w:val="22"/>
          <w:szCs w:val="22"/>
        </w:rPr>
      </w:pPr>
      <w:bookmarkStart w:id="4" w:name="_heading=h.1t3h5sf" w:colFirst="0" w:colLast="0"/>
      <w:bookmarkEnd w:id="4"/>
      <w:r w:rsidRPr="001D4BA1">
        <w:rPr>
          <w:rFonts w:ascii="Arial" w:eastAsia="Arial" w:hAnsi="Arial" w:cs="Arial"/>
          <w:sz w:val="22"/>
          <w:szCs w:val="22"/>
        </w:rPr>
        <w:t>En concordancia con lo expresado, procede este Despacho a realizar el estudio de las actuaciones adelantadas, así como de los elementos probatorios recaudados por esta Dirección, sobre los hechos objeto de las órdenes hacer referentes a la Resolución No. 728 del 14 de junio de 2022, “</w:t>
      </w:r>
      <w:r w:rsidRPr="001D4BA1">
        <w:rPr>
          <w:rFonts w:ascii="Arial" w:eastAsia="Arial" w:hAnsi="Arial" w:cs="Arial"/>
          <w:i/>
          <w:iCs/>
          <w:sz w:val="22"/>
          <w:szCs w:val="22"/>
        </w:rPr>
        <w:t>Por la cual se impone una sanción y se imparte una orden</w:t>
      </w:r>
      <w:r w:rsidRPr="001D4BA1">
        <w:rPr>
          <w:rFonts w:ascii="Arial" w:eastAsia="Arial" w:hAnsi="Arial" w:cs="Arial"/>
          <w:sz w:val="22"/>
          <w:szCs w:val="22"/>
        </w:rPr>
        <w:t>”.</w:t>
      </w:r>
    </w:p>
    <w:p w14:paraId="6532B468" w14:textId="77777777" w:rsidR="00C11A9D" w:rsidRPr="001D4BA1" w:rsidRDefault="00C11A9D">
      <w:pPr>
        <w:jc w:val="both"/>
        <w:rPr>
          <w:rFonts w:ascii="Arial" w:eastAsia="Arial" w:hAnsi="Arial" w:cs="Arial"/>
          <w:sz w:val="22"/>
          <w:szCs w:val="22"/>
        </w:rPr>
      </w:pPr>
    </w:p>
    <w:p w14:paraId="653FD69E" w14:textId="77777777" w:rsidR="00C11A9D" w:rsidRPr="001D4BA1" w:rsidRDefault="00E252DE">
      <w:pPr>
        <w:widowControl w:val="0"/>
        <w:jc w:val="center"/>
        <w:rPr>
          <w:rFonts w:ascii="Arial" w:eastAsia="Arial" w:hAnsi="Arial" w:cs="Arial"/>
          <w:b/>
          <w:bCs/>
          <w:sz w:val="22"/>
          <w:szCs w:val="22"/>
        </w:rPr>
      </w:pPr>
      <w:r w:rsidRPr="001D4BA1">
        <w:rPr>
          <w:rFonts w:ascii="Arial" w:eastAsia="Arial" w:hAnsi="Arial" w:cs="Arial"/>
          <w:b/>
          <w:bCs/>
          <w:sz w:val="22"/>
          <w:szCs w:val="22"/>
        </w:rPr>
        <w:t>ANÁLISIS PROBATORIO</w:t>
      </w:r>
    </w:p>
    <w:p w14:paraId="5D194742" w14:textId="77777777" w:rsidR="00C11A9D" w:rsidRPr="001D4BA1" w:rsidRDefault="00C11A9D">
      <w:pPr>
        <w:ind w:right="50"/>
        <w:jc w:val="both"/>
        <w:rPr>
          <w:rFonts w:ascii="Arial" w:eastAsia="Arial" w:hAnsi="Arial" w:cs="Arial"/>
          <w:sz w:val="22"/>
          <w:szCs w:val="22"/>
        </w:rPr>
      </w:pPr>
    </w:p>
    <w:p w14:paraId="2DCFA357" w14:textId="77777777" w:rsidR="00C11A9D" w:rsidRPr="001D4BA1" w:rsidRDefault="00E252DE">
      <w:pPr>
        <w:ind w:right="50"/>
        <w:jc w:val="both"/>
        <w:rPr>
          <w:rFonts w:ascii="Arial" w:eastAsia="Arial" w:hAnsi="Arial" w:cs="Arial"/>
          <w:sz w:val="22"/>
          <w:szCs w:val="22"/>
        </w:rPr>
      </w:pPr>
      <w:r w:rsidRPr="001D4BA1">
        <w:rPr>
          <w:rFonts w:ascii="Arial" w:eastAsia="Arial" w:hAnsi="Arial" w:cs="Arial"/>
          <w:sz w:val="22"/>
          <w:szCs w:val="22"/>
        </w:rPr>
        <w:t>Dentro de la actuación administrativa y las pruebas que reposan en el expediente, se tiene que la sociedad enajenadora INVERSIONES ALCABAMA S.A contaba con un término de dieciocho (18) meses (calendario) siguientes a la ejecutoria del acto administrativo objeto de la orden, para realizar los trabajos tendientes a solucionar en forma definitiva los hechos que afectan las zonas privadas del apartamento 811 del proyecto de vivienda EDIFCIO MONTERREY – PROPIEDAD HORIZONTAL</w:t>
      </w:r>
    </w:p>
    <w:p w14:paraId="11BA1DD2" w14:textId="77777777" w:rsidR="00C11A9D" w:rsidRPr="001D4BA1" w:rsidRDefault="00C11A9D">
      <w:pPr>
        <w:ind w:right="50"/>
        <w:jc w:val="both"/>
        <w:rPr>
          <w:rFonts w:ascii="Arial" w:eastAsia="Arial" w:hAnsi="Arial" w:cs="Arial"/>
          <w:i/>
          <w:iCs/>
          <w:sz w:val="22"/>
          <w:szCs w:val="22"/>
        </w:rPr>
      </w:pPr>
    </w:p>
    <w:p w14:paraId="2C16B345" w14:textId="77777777" w:rsidR="00C11A9D" w:rsidRPr="001D4BA1" w:rsidRDefault="00E252DE">
      <w:pPr>
        <w:jc w:val="both"/>
        <w:rPr>
          <w:rFonts w:ascii="Arial" w:eastAsia="Arial" w:hAnsi="Arial" w:cs="Arial"/>
          <w:sz w:val="22"/>
          <w:szCs w:val="22"/>
        </w:rPr>
      </w:pPr>
      <w:r w:rsidRPr="001D4BA1">
        <w:rPr>
          <w:rFonts w:ascii="Arial" w:eastAsia="Arial" w:hAnsi="Arial" w:cs="Arial"/>
          <w:sz w:val="22"/>
          <w:szCs w:val="22"/>
        </w:rPr>
        <w:t>Así mismo, se tiene que la sociedad enajenadora tenía un plazo de 10 días, siguientes al cumplimiento del término otorgado para el cumplimiento de la orden de hacer, para acreditar ante este Despacho la realización de las labores de corrección sobre los citados hechos, tal como lo dispone el artículo tercero de la Resolución No. 728 del 14 de junio de 2022.</w:t>
      </w:r>
    </w:p>
    <w:p w14:paraId="7DE81775" w14:textId="77777777" w:rsidR="00C11A9D" w:rsidRPr="001D4BA1" w:rsidRDefault="00C11A9D">
      <w:pPr>
        <w:jc w:val="both"/>
        <w:rPr>
          <w:rFonts w:ascii="Arial" w:eastAsia="Arial" w:hAnsi="Arial" w:cs="Arial"/>
          <w:sz w:val="22"/>
          <w:szCs w:val="22"/>
          <w:highlight w:val="white"/>
        </w:rPr>
      </w:pPr>
    </w:p>
    <w:p w14:paraId="4BD8E8F3" w14:textId="5801846B" w:rsidR="00C11A9D" w:rsidRPr="001D4BA1" w:rsidRDefault="00E252DE">
      <w:pPr>
        <w:jc w:val="both"/>
        <w:rPr>
          <w:rFonts w:ascii="Arial" w:eastAsia="Arial" w:hAnsi="Arial" w:cs="Arial"/>
          <w:sz w:val="22"/>
          <w:szCs w:val="22"/>
        </w:rPr>
      </w:pPr>
      <w:r w:rsidRPr="001D4BA1">
        <w:rPr>
          <w:rFonts w:ascii="Arial" w:eastAsia="Arial" w:hAnsi="Arial" w:cs="Arial"/>
          <w:sz w:val="22"/>
          <w:szCs w:val="22"/>
        </w:rPr>
        <w:t xml:space="preserve">Revisado el material probatorio allegado y lo mencionado por las partes </w:t>
      </w:r>
      <w:r w:rsidR="009172FE">
        <w:rPr>
          <w:rFonts w:ascii="Arial" w:eastAsia="Arial" w:hAnsi="Arial" w:cs="Arial"/>
          <w:sz w:val="22"/>
          <w:szCs w:val="22"/>
        </w:rPr>
        <w:t xml:space="preserve">e </w:t>
      </w:r>
      <w:r w:rsidRPr="001D4BA1">
        <w:rPr>
          <w:rFonts w:ascii="Arial" w:eastAsia="Arial" w:hAnsi="Arial" w:cs="Arial"/>
          <w:sz w:val="22"/>
          <w:szCs w:val="22"/>
        </w:rPr>
        <w:t>intervinientes, se evidencia que se realizaron algunas obras</w:t>
      </w:r>
      <w:r w:rsidR="009172FE">
        <w:rPr>
          <w:rFonts w:ascii="Arial" w:eastAsia="Arial" w:hAnsi="Arial" w:cs="Arial"/>
          <w:sz w:val="22"/>
          <w:szCs w:val="22"/>
        </w:rPr>
        <w:t xml:space="preserve"> por parte del directamente afectado</w:t>
      </w:r>
      <w:r w:rsidRPr="001D4BA1">
        <w:rPr>
          <w:rFonts w:ascii="Arial" w:eastAsia="Arial" w:hAnsi="Arial" w:cs="Arial"/>
          <w:sz w:val="22"/>
          <w:szCs w:val="22"/>
        </w:rPr>
        <w:t xml:space="preserve">, no obstante, </w:t>
      </w:r>
      <w:r w:rsidR="009172FE">
        <w:rPr>
          <w:rFonts w:ascii="Arial" w:eastAsia="Arial" w:hAnsi="Arial" w:cs="Arial"/>
          <w:sz w:val="22"/>
          <w:szCs w:val="22"/>
        </w:rPr>
        <w:t>se debe reclamar del sancionado que dicha obligación debe ser realizadas por este</w:t>
      </w:r>
      <w:r w:rsidRPr="001D4BA1">
        <w:rPr>
          <w:rFonts w:ascii="Arial" w:eastAsia="Arial" w:hAnsi="Arial" w:cs="Arial"/>
          <w:sz w:val="22"/>
          <w:szCs w:val="22"/>
        </w:rPr>
        <w:t>.</w:t>
      </w:r>
    </w:p>
    <w:p w14:paraId="5B6D9F72" w14:textId="77777777" w:rsidR="00C11A9D" w:rsidRPr="001D4BA1" w:rsidRDefault="00C11A9D">
      <w:pPr>
        <w:jc w:val="both"/>
        <w:rPr>
          <w:rFonts w:ascii="Arial" w:eastAsia="Arial" w:hAnsi="Arial" w:cs="Arial"/>
          <w:sz w:val="22"/>
          <w:szCs w:val="22"/>
        </w:rPr>
      </w:pPr>
    </w:p>
    <w:p w14:paraId="178ACB35" w14:textId="0F4B9571" w:rsidR="00C11A9D" w:rsidRPr="001D4BA1" w:rsidRDefault="00E252DE">
      <w:pPr>
        <w:ind w:right="-92"/>
        <w:jc w:val="both"/>
        <w:rPr>
          <w:rFonts w:ascii="Arial" w:eastAsia="Arial" w:hAnsi="Arial" w:cs="Arial"/>
          <w:sz w:val="22"/>
          <w:szCs w:val="22"/>
        </w:rPr>
      </w:pPr>
      <w:r w:rsidRPr="001D4BA1">
        <w:rPr>
          <w:rFonts w:ascii="Arial" w:hAnsi="Arial" w:cs="Arial"/>
          <w:sz w:val="22"/>
          <w:szCs w:val="22"/>
          <w:shd w:val="clear" w:color="auto" w:fill="FFFFFF"/>
        </w:rPr>
        <w:t xml:space="preserve">Lo anterior encuentra sustento en </w:t>
      </w:r>
      <w:r w:rsidRPr="001D4BA1">
        <w:rPr>
          <w:rFonts w:ascii="Arial" w:eastAsia="Arial" w:hAnsi="Arial" w:cs="Arial"/>
          <w:sz w:val="22"/>
          <w:szCs w:val="22"/>
          <w:lang w:val="es-CO"/>
        </w:rPr>
        <w:t>el Informe de Verificación de Hechos</w:t>
      </w:r>
      <w:r w:rsidRPr="001D4BA1">
        <w:rPr>
          <w:rFonts w:ascii="Arial" w:eastAsia="Arial" w:hAnsi="Arial" w:cs="Arial"/>
          <w:sz w:val="22"/>
          <w:szCs w:val="22"/>
        </w:rPr>
        <w:t xml:space="preserve"> No.25-366 del 20 de agosto de 2025, que evidenció lo siguiente: </w:t>
      </w:r>
    </w:p>
    <w:p w14:paraId="42A26E38" w14:textId="77777777" w:rsidR="00C11A9D" w:rsidRPr="001D4BA1" w:rsidRDefault="00C11A9D">
      <w:pPr>
        <w:ind w:right="-92"/>
        <w:jc w:val="both"/>
        <w:rPr>
          <w:rFonts w:ascii="Arial" w:eastAsia="Arial" w:hAnsi="Arial" w:cs="Arial"/>
          <w:sz w:val="22"/>
          <w:szCs w:val="22"/>
        </w:rPr>
      </w:pPr>
    </w:p>
    <w:p w14:paraId="2F60CF6F" w14:textId="77777777" w:rsidR="00D62B60" w:rsidRPr="001D4BA1" w:rsidRDefault="00D62B60" w:rsidP="00D62B60">
      <w:pPr>
        <w:ind w:right="-92"/>
        <w:jc w:val="center"/>
        <w:rPr>
          <w:rFonts w:ascii="Arial" w:eastAsia="Arial" w:hAnsi="Arial" w:cs="Arial"/>
          <w:i/>
          <w:iCs/>
          <w:sz w:val="22"/>
          <w:szCs w:val="22"/>
        </w:rPr>
      </w:pPr>
      <w:r w:rsidRPr="001D4BA1">
        <w:rPr>
          <w:rFonts w:ascii="Arial" w:eastAsia="Arial" w:hAnsi="Arial" w:cs="Arial"/>
          <w:i/>
          <w:iCs/>
          <w:sz w:val="22"/>
          <w:szCs w:val="22"/>
        </w:rPr>
        <w:t>HALLAZGOS:</w:t>
      </w:r>
    </w:p>
    <w:p w14:paraId="3002AC9E" w14:textId="77777777" w:rsidR="00D62B60" w:rsidRPr="001D4BA1" w:rsidRDefault="00D62B60" w:rsidP="00D62B60">
      <w:pPr>
        <w:ind w:right="-92"/>
        <w:jc w:val="both"/>
        <w:rPr>
          <w:rFonts w:ascii="Arial" w:eastAsia="Arial" w:hAnsi="Arial" w:cs="Arial"/>
          <w:i/>
          <w:iCs/>
          <w:sz w:val="22"/>
          <w:szCs w:val="22"/>
        </w:rPr>
      </w:pPr>
    </w:p>
    <w:p w14:paraId="71A4F453" w14:textId="77777777" w:rsidR="00D62B60" w:rsidRPr="001D4BA1" w:rsidRDefault="00D62B60" w:rsidP="00D62B60">
      <w:pPr>
        <w:ind w:left="340" w:right="340"/>
        <w:jc w:val="both"/>
        <w:rPr>
          <w:rFonts w:ascii="Arial" w:eastAsia="Arial" w:hAnsi="Arial" w:cs="Arial"/>
          <w:b/>
          <w:bCs/>
          <w:i/>
          <w:iCs/>
          <w:sz w:val="22"/>
          <w:szCs w:val="22"/>
          <w:u w:val="single"/>
        </w:rPr>
      </w:pPr>
      <w:r w:rsidRPr="001D4BA1">
        <w:rPr>
          <w:rFonts w:ascii="Arial" w:eastAsia="Arial" w:hAnsi="Arial" w:cs="Arial"/>
          <w:b/>
          <w:bCs/>
          <w:i/>
          <w:iCs/>
          <w:sz w:val="22"/>
          <w:szCs w:val="22"/>
        </w:rPr>
        <w:t>"</w:t>
      </w:r>
      <w:r w:rsidRPr="001D4BA1">
        <w:rPr>
          <w:rFonts w:ascii="Arial" w:eastAsia="Arial" w:hAnsi="Arial" w:cs="Arial"/>
          <w:b/>
          <w:bCs/>
          <w:i/>
          <w:iCs/>
          <w:sz w:val="22"/>
          <w:szCs w:val="22"/>
          <w:u w:val="single"/>
        </w:rPr>
        <w:t>1. FISURAS EN MUROS DE LAS HABITACIONES.</w:t>
      </w:r>
    </w:p>
    <w:p w14:paraId="603E0691" w14:textId="77777777" w:rsidR="00D62B60" w:rsidRPr="001D4BA1" w:rsidRDefault="00D62B60" w:rsidP="00D62B60">
      <w:pPr>
        <w:ind w:left="340" w:right="340"/>
        <w:jc w:val="both"/>
        <w:rPr>
          <w:rFonts w:ascii="Arial" w:eastAsia="Arial" w:hAnsi="Arial" w:cs="Arial"/>
          <w:b/>
          <w:bCs/>
          <w:i/>
          <w:iCs/>
          <w:sz w:val="22"/>
          <w:szCs w:val="22"/>
        </w:rPr>
      </w:pPr>
    </w:p>
    <w:p w14:paraId="468ED09A" w14:textId="77777777" w:rsidR="00D62B60" w:rsidRPr="001D4BA1" w:rsidRDefault="00D62B60" w:rsidP="00D62B60">
      <w:pPr>
        <w:ind w:left="340" w:right="340"/>
        <w:jc w:val="both"/>
        <w:rPr>
          <w:rFonts w:ascii="Arial" w:eastAsia="Arial" w:hAnsi="Arial" w:cs="Arial"/>
          <w:i/>
          <w:iCs/>
          <w:sz w:val="22"/>
          <w:szCs w:val="22"/>
        </w:rPr>
      </w:pPr>
      <w:r w:rsidRPr="001D4BA1">
        <w:rPr>
          <w:rFonts w:ascii="Arial" w:eastAsia="Arial" w:hAnsi="Arial" w:cs="Arial"/>
          <w:i/>
          <w:iCs/>
          <w:sz w:val="22"/>
          <w:szCs w:val="22"/>
        </w:rPr>
        <w:t xml:space="preserve">Por lo anterior no se evidencia fisuras en los muros de la habitaciones. La administración del EDIFICIO MONTERREY se encuentra realizando las obras de </w:t>
      </w:r>
      <w:r w:rsidRPr="001D4BA1">
        <w:rPr>
          <w:rFonts w:ascii="Arial" w:eastAsia="Arial" w:hAnsi="Arial" w:cs="Arial"/>
          <w:i/>
          <w:iCs/>
          <w:sz w:val="22"/>
          <w:szCs w:val="22"/>
        </w:rPr>
        <w:lastRenderedPageBreak/>
        <w:t>reforzamiento estructural para subsanar la continuidad del asentamiento, como resultado de un acuerdo jurídico que hicieron entre la constructora ALCABAMA y la copropiedad como resultado de una Acción Judicial.</w:t>
      </w:r>
    </w:p>
    <w:p w14:paraId="6FE57B4F" w14:textId="77777777" w:rsidR="00D62B60" w:rsidRPr="001D4BA1" w:rsidRDefault="00D62B60" w:rsidP="00D62B60">
      <w:pPr>
        <w:ind w:left="340" w:right="340"/>
        <w:jc w:val="both"/>
        <w:rPr>
          <w:rFonts w:ascii="Arial" w:eastAsia="Arial" w:hAnsi="Arial" w:cs="Arial"/>
          <w:b/>
          <w:bCs/>
          <w:i/>
          <w:iCs/>
          <w:sz w:val="22"/>
          <w:szCs w:val="22"/>
        </w:rPr>
      </w:pPr>
    </w:p>
    <w:p w14:paraId="51B87DF5" w14:textId="77777777" w:rsidR="00D62B60" w:rsidRPr="001D4BA1" w:rsidRDefault="00D62B60" w:rsidP="00D62B60">
      <w:pPr>
        <w:ind w:left="340" w:right="340"/>
        <w:jc w:val="both"/>
        <w:rPr>
          <w:rFonts w:ascii="Arial" w:eastAsia="Arial" w:hAnsi="Arial" w:cs="Arial"/>
          <w:b/>
          <w:bCs/>
          <w:i/>
          <w:iCs/>
          <w:sz w:val="22"/>
          <w:szCs w:val="22"/>
          <w:u w:val="single"/>
        </w:rPr>
      </w:pPr>
      <w:r w:rsidRPr="001D4BA1">
        <w:rPr>
          <w:rFonts w:ascii="Arial" w:eastAsia="Arial" w:hAnsi="Arial" w:cs="Arial"/>
          <w:b/>
          <w:bCs/>
          <w:i/>
          <w:iCs/>
          <w:sz w:val="22"/>
          <w:szCs w:val="22"/>
          <w:u w:val="single"/>
        </w:rPr>
        <w:t>HECHO SUBSANADO POR EL QUEJOSO- NO PERSISTE</w:t>
      </w:r>
    </w:p>
    <w:p w14:paraId="2DC50E60" w14:textId="77777777" w:rsidR="00D62B60" w:rsidRPr="001D4BA1" w:rsidRDefault="00D62B60" w:rsidP="00D62B60">
      <w:pPr>
        <w:ind w:left="340" w:right="340"/>
        <w:jc w:val="both"/>
        <w:rPr>
          <w:rFonts w:ascii="Arial" w:eastAsia="Arial" w:hAnsi="Arial" w:cs="Arial"/>
          <w:b/>
          <w:bCs/>
          <w:i/>
          <w:iCs/>
          <w:sz w:val="22"/>
          <w:szCs w:val="22"/>
        </w:rPr>
      </w:pPr>
    </w:p>
    <w:p w14:paraId="7BC541B4" w14:textId="77777777" w:rsidR="00D62B60" w:rsidRPr="001D4BA1" w:rsidRDefault="00D62B60" w:rsidP="00D62B60">
      <w:pPr>
        <w:ind w:left="340" w:right="340"/>
        <w:jc w:val="both"/>
        <w:rPr>
          <w:rFonts w:ascii="Arial" w:eastAsia="Arial" w:hAnsi="Arial" w:cs="Arial"/>
          <w:b/>
          <w:bCs/>
          <w:i/>
          <w:iCs/>
          <w:sz w:val="22"/>
          <w:szCs w:val="22"/>
          <w:u w:val="single"/>
        </w:rPr>
      </w:pPr>
      <w:r w:rsidRPr="001D4BA1">
        <w:rPr>
          <w:rFonts w:ascii="Arial" w:eastAsia="Arial" w:hAnsi="Arial" w:cs="Arial"/>
          <w:b/>
          <w:bCs/>
          <w:i/>
          <w:iCs/>
          <w:sz w:val="22"/>
          <w:szCs w:val="22"/>
          <w:u w:val="single"/>
        </w:rPr>
        <w:t>2. FISURAS EN ENCHAPES DE COCINAS Y BAÑOS</w:t>
      </w:r>
    </w:p>
    <w:p w14:paraId="59768582" w14:textId="77777777" w:rsidR="00D62B60" w:rsidRPr="001D4BA1" w:rsidRDefault="00D62B60" w:rsidP="00D62B60">
      <w:pPr>
        <w:ind w:right="340"/>
        <w:jc w:val="both"/>
        <w:rPr>
          <w:rFonts w:ascii="Arial" w:eastAsia="Arial" w:hAnsi="Arial" w:cs="Arial"/>
          <w:b/>
          <w:bCs/>
          <w:i/>
          <w:iCs/>
          <w:sz w:val="22"/>
          <w:szCs w:val="22"/>
        </w:rPr>
      </w:pPr>
    </w:p>
    <w:p w14:paraId="32ECB474" w14:textId="77777777" w:rsidR="00D62B60" w:rsidRPr="001D4BA1" w:rsidRDefault="00D62B60" w:rsidP="00D62B60">
      <w:pPr>
        <w:ind w:left="340" w:right="340"/>
        <w:jc w:val="both"/>
        <w:rPr>
          <w:rFonts w:ascii="Arial" w:eastAsia="Arial" w:hAnsi="Arial" w:cs="Arial"/>
          <w:i/>
          <w:iCs/>
          <w:sz w:val="22"/>
          <w:szCs w:val="22"/>
        </w:rPr>
      </w:pPr>
      <w:r w:rsidRPr="001D4BA1">
        <w:rPr>
          <w:rFonts w:ascii="Arial" w:eastAsia="Arial" w:hAnsi="Arial" w:cs="Arial"/>
          <w:i/>
          <w:iCs/>
          <w:sz w:val="22"/>
          <w:szCs w:val="22"/>
        </w:rPr>
        <w:t>Durante la visita se evidencia que la nueva propietaria ha realizado adecuaciones y mantenimiento al apartamento 811 del EDİFICIO MONTERREY, con el objetivo de garantizar que las instalaciones se mantengan en buen estado de funcionamiento, seguras y agradables para vivir.</w:t>
      </w:r>
    </w:p>
    <w:p w14:paraId="3DD39304" w14:textId="77777777" w:rsidR="00D62B60" w:rsidRPr="001D4BA1" w:rsidRDefault="00D62B60" w:rsidP="00D62B60">
      <w:pPr>
        <w:ind w:left="340" w:right="340"/>
        <w:jc w:val="both"/>
        <w:rPr>
          <w:rFonts w:ascii="Arial" w:eastAsia="Arial" w:hAnsi="Arial" w:cs="Arial"/>
          <w:i/>
          <w:iCs/>
          <w:sz w:val="22"/>
          <w:szCs w:val="22"/>
        </w:rPr>
      </w:pPr>
    </w:p>
    <w:p w14:paraId="78BBE83A" w14:textId="77777777" w:rsidR="00D62B60" w:rsidRPr="001D4BA1" w:rsidRDefault="00D62B60" w:rsidP="00D62B60">
      <w:pPr>
        <w:ind w:left="340" w:right="340"/>
        <w:jc w:val="both"/>
        <w:rPr>
          <w:rFonts w:ascii="Arial" w:eastAsia="Arial" w:hAnsi="Arial" w:cs="Arial"/>
          <w:i/>
          <w:iCs/>
          <w:sz w:val="22"/>
          <w:szCs w:val="22"/>
        </w:rPr>
      </w:pPr>
      <w:r w:rsidRPr="001D4BA1">
        <w:rPr>
          <w:rFonts w:ascii="Arial" w:eastAsia="Arial" w:hAnsi="Arial" w:cs="Arial"/>
          <w:i/>
          <w:iCs/>
          <w:sz w:val="22"/>
          <w:szCs w:val="22"/>
        </w:rPr>
        <w:t>Esto incluye la limpieza, las reparaciones necesarias y la prevención de problemas futuros, preservar el valor de la propiedad, prolongar la vida útil de los electrodomésticos y enseres, y mejorar la calidad de vida de los residentes.</w:t>
      </w:r>
    </w:p>
    <w:p w14:paraId="5BC8E8DD" w14:textId="77777777" w:rsidR="00D62B60" w:rsidRPr="001D4BA1" w:rsidRDefault="00D62B60" w:rsidP="00D62B60">
      <w:pPr>
        <w:ind w:left="340" w:right="340"/>
        <w:jc w:val="both"/>
        <w:rPr>
          <w:rFonts w:ascii="Arial" w:eastAsia="Arial" w:hAnsi="Arial" w:cs="Arial"/>
          <w:i/>
          <w:iCs/>
          <w:sz w:val="22"/>
          <w:szCs w:val="22"/>
        </w:rPr>
      </w:pPr>
      <w:r w:rsidRPr="001D4BA1">
        <w:rPr>
          <w:rFonts w:ascii="Arial" w:eastAsia="Arial" w:hAnsi="Arial" w:cs="Arial"/>
          <w:i/>
          <w:iCs/>
          <w:sz w:val="22"/>
          <w:szCs w:val="22"/>
        </w:rPr>
        <w:t>Por otra parte. se observa que. lo único que no se reparó fue el enchape de los muros de la cocina y se encuentran fisurados a causa del asentamiento que presentó el EDIFICIO MONTERREY tal como se indico en el Informe de Verificación de Hechos No. 21-183 del 24 de mayo de 2021.</w:t>
      </w:r>
    </w:p>
    <w:p w14:paraId="459A406D" w14:textId="77777777" w:rsidR="00D62B60" w:rsidRPr="001D4BA1" w:rsidRDefault="00D62B60" w:rsidP="00D62B60">
      <w:pPr>
        <w:ind w:right="340"/>
        <w:jc w:val="both"/>
        <w:rPr>
          <w:rFonts w:ascii="Arial" w:eastAsia="Arial" w:hAnsi="Arial" w:cs="Arial"/>
          <w:b/>
          <w:bCs/>
          <w:i/>
          <w:iCs/>
          <w:sz w:val="22"/>
          <w:szCs w:val="22"/>
        </w:rPr>
      </w:pPr>
    </w:p>
    <w:p w14:paraId="49A65CC7" w14:textId="77777777" w:rsidR="00D62B60" w:rsidRPr="001D4BA1" w:rsidRDefault="00D62B60" w:rsidP="00D62B60">
      <w:pPr>
        <w:ind w:left="340" w:right="340"/>
        <w:jc w:val="both"/>
        <w:rPr>
          <w:rFonts w:ascii="Arial" w:eastAsia="Arial" w:hAnsi="Arial" w:cs="Arial"/>
          <w:b/>
          <w:bCs/>
          <w:i/>
          <w:iCs/>
          <w:sz w:val="22"/>
          <w:szCs w:val="22"/>
          <w:u w:val="single"/>
        </w:rPr>
      </w:pPr>
      <w:r w:rsidRPr="001D4BA1">
        <w:rPr>
          <w:rFonts w:ascii="Arial" w:eastAsia="Arial" w:hAnsi="Arial" w:cs="Arial"/>
          <w:b/>
          <w:bCs/>
          <w:i/>
          <w:iCs/>
          <w:sz w:val="22"/>
          <w:szCs w:val="22"/>
          <w:u w:val="single"/>
        </w:rPr>
        <w:t>El HECHO, NO HA SIDO SUBSANADO DEFINITIVAMENTE POR EL ENAJENADOR. ASÍ LAS COSAS, EL HECHO PERSISTE.</w:t>
      </w:r>
    </w:p>
    <w:p w14:paraId="0E422D91" w14:textId="77777777" w:rsidR="00D62B60" w:rsidRPr="001D4BA1" w:rsidRDefault="00D62B60" w:rsidP="00D62B60">
      <w:pPr>
        <w:ind w:left="340" w:right="340"/>
        <w:jc w:val="both"/>
        <w:rPr>
          <w:rFonts w:ascii="Arial" w:eastAsia="Arial" w:hAnsi="Arial" w:cs="Arial"/>
          <w:b/>
          <w:bCs/>
          <w:i/>
          <w:iCs/>
          <w:sz w:val="22"/>
          <w:szCs w:val="22"/>
        </w:rPr>
      </w:pPr>
    </w:p>
    <w:p w14:paraId="1BDABD0A" w14:textId="77777777" w:rsidR="00D62B60" w:rsidRPr="001D4BA1" w:rsidRDefault="00D62B60" w:rsidP="00D62B60">
      <w:pPr>
        <w:ind w:left="340" w:right="340"/>
        <w:jc w:val="both"/>
        <w:rPr>
          <w:rFonts w:ascii="Arial" w:eastAsia="Arial" w:hAnsi="Arial" w:cs="Arial"/>
          <w:b/>
          <w:bCs/>
          <w:i/>
          <w:iCs/>
          <w:sz w:val="22"/>
          <w:szCs w:val="22"/>
          <w:u w:val="single"/>
        </w:rPr>
      </w:pPr>
      <w:r w:rsidRPr="001D4BA1">
        <w:rPr>
          <w:rFonts w:ascii="Arial" w:eastAsia="Arial" w:hAnsi="Arial" w:cs="Arial"/>
          <w:b/>
          <w:bCs/>
          <w:i/>
          <w:iCs/>
          <w:sz w:val="22"/>
          <w:szCs w:val="22"/>
          <w:u w:val="single"/>
        </w:rPr>
        <w:t>3. LEVANTAMIENTO DE PISOS EN HALL Y COCINA.</w:t>
      </w:r>
    </w:p>
    <w:p w14:paraId="3192E64D" w14:textId="77777777" w:rsidR="00D62B60" w:rsidRPr="001D4BA1" w:rsidRDefault="00D62B60" w:rsidP="00D62B60">
      <w:pPr>
        <w:ind w:left="340" w:right="340"/>
        <w:jc w:val="both"/>
        <w:rPr>
          <w:rFonts w:ascii="Arial" w:eastAsia="Arial" w:hAnsi="Arial" w:cs="Arial"/>
          <w:i/>
          <w:iCs/>
          <w:sz w:val="22"/>
          <w:szCs w:val="22"/>
        </w:rPr>
      </w:pPr>
    </w:p>
    <w:p w14:paraId="6B99DE41" w14:textId="77777777" w:rsidR="00D62B60" w:rsidRPr="001D4BA1" w:rsidRDefault="00D62B60" w:rsidP="00D62B60">
      <w:pPr>
        <w:ind w:left="340" w:right="340"/>
        <w:jc w:val="both"/>
        <w:rPr>
          <w:rFonts w:ascii="Arial" w:eastAsia="Arial" w:hAnsi="Arial" w:cs="Arial"/>
          <w:i/>
          <w:iCs/>
          <w:sz w:val="22"/>
          <w:szCs w:val="22"/>
        </w:rPr>
      </w:pPr>
      <w:r w:rsidRPr="001D4BA1">
        <w:rPr>
          <w:rFonts w:ascii="Arial" w:eastAsia="Arial" w:hAnsi="Arial" w:cs="Arial"/>
          <w:i/>
          <w:iCs/>
          <w:sz w:val="22"/>
          <w:szCs w:val="22"/>
        </w:rPr>
        <w:t>Al momento de la visita la apoderada de la quejosa (mamá) indica que adquirieron el apartamento 811 del EDIFICIO MONTERREY, hace 4 años, y al cual le han hecho un mantenimientos preventivo y adecuaciones correctivas para eliminar el problema ya existente, y asi evitar que vuelva a ocurrir. (cambio de enchape de piso em el área de la cocina).</w:t>
      </w:r>
    </w:p>
    <w:p w14:paraId="08F04BFE" w14:textId="77777777" w:rsidR="00D62B60" w:rsidRPr="001D4BA1" w:rsidRDefault="00D62B60" w:rsidP="00D62B60">
      <w:pPr>
        <w:ind w:left="340" w:right="340"/>
        <w:jc w:val="both"/>
        <w:rPr>
          <w:rFonts w:ascii="Arial" w:eastAsia="Arial" w:hAnsi="Arial" w:cs="Arial"/>
          <w:i/>
          <w:iCs/>
          <w:sz w:val="22"/>
          <w:szCs w:val="22"/>
        </w:rPr>
      </w:pPr>
    </w:p>
    <w:p w14:paraId="05A003CD" w14:textId="77777777" w:rsidR="00D62B60" w:rsidRPr="001D4BA1" w:rsidRDefault="00D62B60" w:rsidP="00D62B60">
      <w:pPr>
        <w:ind w:left="340" w:right="340"/>
        <w:jc w:val="both"/>
        <w:rPr>
          <w:rFonts w:ascii="Arial" w:eastAsia="Arial" w:hAnsi="Arial" w:cs="Arial"/>
          <w:i/>
          <w:iCs/>
          <w:sz w:val="22"/>
          <w:szCs w:val="22"/>
        </w:rPr>
      </w:pPr>
      <w:r w:rsidRPr="001D4BA1">
        <w:rPr>
          <w:rFonts w:ascii="Arial" w:eastAsia="Arial" w:hAnsi="Arial" w:cs="Arial"/>
          <w:i/>
          <w:iCs/>
          <w:sz w:val="22"/>
          <w:szCs w:val="22"/>
        </w:rPr>
        <w:t>Por otra parte, el piso laminado del hall y habitaciones presenta un mínimo desgaste por el uso y el cual requiere de un mantenimiento preventivo.</w:t>
      </w:r>
    </w:p>
    <w:p w14:paraId="66BE8F9C" w14:textId="77777777" w:rsidR="00D62B60" w:rsidRPr="001D4BA1" w:rsidRDefault="00D62B60" w:rsidP="00D62B60">
      <w:pPr>
        <w:ind w:left="340" w:right="340"/>
        <w:jc w:val="both"/>
        <w:rPr>
          <w:rFonts w:ascii="Arial" w:eastAsia="Arial" w:hAnsi="Arial" w:cs="Arial"/>
          <w:i/>
          <w:iCs/>
          <w:sz w:val="22"/>
          <w:szCs w:val="22"/>
        </w:rPr>
      </w:pPr>
    </w:p>
    <w:p w14:paraId="37984018" w14:textId="77777777" w:rsidR="00D62B60" w:rsidRPr="001D4BA1" w:rsidRDefault="00D62B60" w:rsidP="00D62B60">
      <w:pPr>
        <w:ind w:left="340" w:right="340"/>
        <w:jc w:val="both"/>
        <w:rPr>
          <w:rFonts w:ascii="Arial" w:eastAsia="Arial" w:hAnsi="Arial" w:cs="Arial"/>
          <w:i/>
          <w:iCs/>
          <w:sz w:val="22"/>
          <w:szCs w:val="22"/>
        </w:rPr>
      </w:pPr>
      <w:r w:rsidRPr="001D4BA1">
        <w:rPr>
          <w:rFonts w:ascii="Arial" w:eastAsia="Arial" w:hAnsi="Arial" w:cs="Arial"/>
          <w:i/>
          <w:iCs/>
          <w:sz w:val="22"/>
          <w:szCs w:val="22"/>
        </w:rPr>
        <w:t>La administración del EDIFICIO MONTERREY se encuentra realizando las obras de reforzamiento estructural para subsanar la continuidad del asentamiento, como resultado de un acuerdo jurídico que hicieron entre la constructora ALCABAMA y la copropiedad como resultado de una Acción Judicial.</w:t>
      </w:r>
    </w:p>
    <w:p w14:paraId="66DFAC30" w14:textId="77777777" w:rsidR="00D62B60" w:rsidRPr="001D4BA1" w:rsidRDefault="00D62B60" w:rsidP="00D62B60">
      <w:pPr>
        <w:ind w:left="340" w:right="340"/>
        <w:jc w:val="both"/>
        <w:rPr>
          <w:rFonts w:ascii="Arial" w:eastAsia="Arial" w:hAnsi="Arial" w:cs="Arial"/>
          <w:b/>
          <w:bCs/>
          <w:i/>
          <w:iCs/>
          <w:sz w:val="22"/>
          <w:szCs w:val="22"/>
        </w:rPr>
      </w:pPr>
    </w:p>
    <w:p w14:paraId="2DDD949D" w14:textId="77777777" w:rsidR="00D62B60" w:rsidRPr="001D4BA1" w:rsidRDefault="00D62B60" w:rsidP="00D62B60">
      <w:pPr>
        <w:ind w:left="340" w:right="340"/>
        <w:jc w:val="both"/>
        <w:rPr>
          <w:rFonts w:ascii="Arial" w:eastAsia="Arial" w:hAnsi="Arial" w:cs="Arial"/>
          <w:b/>
          <w:bCs/>
          <w:i/>
          <w:iCs/>
          <w:sz w:val="22"/>
          <w:szCs w:val="22"/>
          <w:u w:val="single"/>
        </w:rPr>
      </w:pPr>
      <w:r w:rsidRPr="001D4BA1">
        <w:rPr>
          <w:rFonts w:ascii="Arial" w:eastAsia="Arial" w:hAnsi="Arial" w:cs="Arial"/>
          <w:b/>
          <w:bCs/>
          <w:i/>
          <w:iCs/>
          <w:sz w:val="22"/>
          <w:szCs w:val="22"/>
          <w:u w:val="single"/>
        </w:rPr>
        <w:t>HECHO SUBSANADO POR EL QUEJOSO- NO PERSISTE</w:t>
      </w:r>
    </w:p>
    <w:p w14:paraId="289B2972" w14:textId="77777777" w:rsidR="00D62B60" w:rsidRPr="001D4BA1" w:rsidRDefault="00D62B60" w:rsidP="00D62B60">
      <w:pPr>
        <w:ind w:left="340" w:right="340"/>
        <w:jc w:val="both"/>
        <w:rPr>
          <w:rFonts w:ascii="Arial" w:eastAsia="Arial" w:hAnsi="Arial" w:cs="Arial"/>
          <w:b/>
          <w:bCs/>
          <w:i/>
          <w:iCs/>
          <w:sz w:val="22"/>
          <w:szCs w:val="22"/>
        </w:rPr>
      </w:pPr>
    </w:p>
    <w:p w14:paraId="6391CF28" w14:textId="77777777" w:rsidR="00D62B60" w:rsidRPr="001D4BA1" w:rsidRDefault="00D62B60" w:rsidP="00D62B60">
      <w:pPr>
        <w:ind w:left="340" w:right="340"/>
        <w:jc w:val="both"/>
        <w:rPr>
          <w:rFonts w:ascii="Arial" w:eastAsia="Arial" w:hAnsi="Arial" w:cs="Arial"/>
          <w:b/>
          <w:bCs/>
          <w:i/>
          <w:iCs/>
          <w:sz w:val="22"/>
          <w:szCs w:val="22"/>
          <w:u w:val="single"/>
        </w:rPr>
      </w:pPr>
      <w:r w:rsidRPr="001D4BA1">
        <w:rPr>
          <w:rFonts w:ascii="Arial" w:eastAsia="Arial" w:hAnsi="Arial" w:cs="Arial"/>
          <w:b/>
          <w:bCs/>
          <w:i/>
          <w:iCs/>
          <w:sz w:val="22"/>
          <w:szCs w:val="22"/>
          <w:u w:val="single"/>
        </w:rPr>
        <w:t>4. DAÑO EN PUERTAS DE HABITACIONES, BAÑOS Y ACCESO.</w:t>
      </w:r>
    </w:p>
    <w:p w14:paraId="6BC51C14" w14:textId="77777777" w:rsidR="00D62B60" w:rsidRPr="001D4BA1" w:rsidRDefault="00D62B60" w:rsidP="00D62B60">
      <w:pPr>
        <w:ind w:right="340"/>
        <w:jc w:val="both"/>
        <w:rPr>
          <w:rFonts w:ascii="Arial" w:eastAsia="Arial" w:hAnsi="Arial" w:cs="Arial"/>
          <w:b/>
          <w:bCs/>
          <w:i/>
          <w:iCs/>
          <w:sz w:val="22"/>
          <w:szCs w:val="22"/>
        </w:rPr>
      </w:pPr>
    </w:p>
    <w:p w14:paraId="03D31059" w14:textId="77777777" w:rsidR="00D62B60" w:rsidRPr="001D4BA1" w:rsidRDefault="00D62B60" w:rsidP="00D62B60">
      <w:pPr>
        <w:ind w:left="340" w:right="340"/>
        <w:jc w:val="both"/>
        <w:rPr>
          <w:rFonts w:ascii="Arial" w:eastAsia="Arial" w:hAnsi="Arial" w:cs="Arial"/>
          <w:i/>
          <w:iCs/>
          <w:sz w:val="22"/>
          <w:szCs w:val="22"/>
        </w:rPr>
      </w:pPr>
      <w:r w:rsidRPr="001D4BA1">
        <w:rPr>
          <w:rFonts w:ascii="Arial" w:eastAsia="Arial" w:hAnsi="Arial" w:cs="Arial"/>
          <w:i/>
          <w:iCs/>
          <w:sz w:val="22"/>
          <w:szCs w:val="22"/>
        </w:rPr>
        <w:lastRenderedPageBreak/>
        <w:t>Al momento de la visita la apoderada de la quejosa (mamá) indica que adquirieron el apartamento 811 del EDIFICIO MONTERREY, hace 4 años, y al cual le han hecho un mantenimientos preventivo y adecuaciones correctivas para eliminar el problema ya existente, y así evitar que vuelva a ocurrir. (mantenimiento y ajuste de puestas en madera)).</w:t>
      </w:r>
    </w:p>
    <w:p w14:paraId="5326DB28" w14:textId="77777777" w:rsidR="00D62B60" w:rsidRPr="001D4BA1" w:rsidRDefault="00D62B60" w:rsidP="00D62B60">
      <w:pPr>
        <w:ind w:left="340" w:right="340"/>
        <w:jc w:val="both"/>
        <w:rPr>
          <w:rFonts w:ascii="Arial" w:eastAsia="Arial" w:hAnsi="Arial" w:cs="Arial"/>
          <w:i/>
          <w:iCs/>
          <w:sz w:val="22"/>
          <w:szCs w:val="22"/>
        </w:rPr>
      </w:pPr>
    </w:p>
    <w:p w14:paraId="14B2698C" w14:textId="77777777" w:rsidR="00D62B60" w:rsidRPr="001D4BA1" w:rsidRDefault="00D62B60" w:rsidP="00D62B60">
      <w:pPr>
        <w:ind w:left="340" w:right="340"/>
        <w:jc w:val="both"/>
        <w:rPr>
          <w:rFonts w:ascii="Arial" w:eastAsia="Arial" w:hAnsi="Arial" w:cs="Arial"/>
          <w:i/>
          <w:iCs/>
          <w:sz w:val="22"/>
          <w:szCs w:val="22"/>
        </w:rPr>
      </w:pPr>
      <w:r w:rsidRPr="001D4BA1">
        <w:rPr>
          <w:rFonts w:ascii="Arial" w:eastAsia="Arial" w:hAnsi="Arial" w:cs="Arial"/>
          <w:i/>
          <w:iCs/>
          <w:sz w:val="22"/>
          <w:szCs w:val="22"/>
        </w:rPr>
        <w:t>La administración del EDIFICIO MONTERREY se encuentra realizando las obras de reforzamiento estructural para subsanar la continuidad del asentamiento, como resultado de un acuerdo jurídico que hicieron entre la constructora ALCABAMA y la copropiedad como resultado de una Acción Judicial.</w:t>
      </w:r>
    </w:p>
    <w:p w14:paraId="1B87D570" w14:textId="77777777" w:rsidR="00D62B60" w:rsidRPr="001D4BA1" w:rsidRDefault="00D62B60" w:rsidP="00D62B60">
      <w:pPr>
        <w:ind w:left="340" w:right="340"/>
        <w:jc w:val="both"/>
        <w:rPr>
          <w:rFonts w:ascii="Arial" w:eastAsia="Arial" w:hAnsi="Arial" w:cs="Arial"/>
          <w:b/>
          <w:bCs/>
          <w:i/>
          <w:iCs/>
          <w:sz w:val="22"/>
          <w:szCs w:val="22"/>
        </w:rPr>
      </w:pPr>
    </w:p>
    <w:p w14:paraId="4513D84B" w14:textId="77777777" w:rsidR="00D62B60" w:rsidRPr="001D4BA1" w:rsidRDefault="00D62B60" w:rsidP="00D62B60">
      <w:pPr>
        <w:ind w:left="340" w:right="340"/>
        <w:jc w:val="both"/>
        <w:rPr>
          <w:rFonts w:ascii="Arial" w:eastAsia="Arial" w:hAnsi="Arial" w:cs="Arial"/>
          <w:b/>
          <w:bCs/>
          <w:i/>
          <w:iCs/>
          <w:sz w:val="22"/>
          <w:szCs w:val="22"/>
          <w:u w:val="single"/>
        </w:rPr>
      </w:pPr>
      <w:r w:rsidRPr="001D4BA1">
        <w:rPr>
          <w:rFonts w:ascii="Arial" w:eastAsia="Arial" w:hAnsi="Arial" w:cs="Arial"/>
          <w:b/>
          <w:bCs/>
          <w:i/>
          <w:iCs/>
          <w:sz w:val="22"/>
          <w:szCs w:val="22"/>
          <w:u w:val="single"/>
        </w:rPr>
        <w:t>HECHO SUBSANADO POR EL QUEJOSO- NO PERSISTE</w:t>
      </w:r>
    </w:p>
    <w:p w14:paraId="255D8E56" w14:textId="77777777" w:rsidR="00D62B60" w:rsidRPr="001D4BA1" w:rsidRDefault="00D62B60" w:rsidP="00D62B60">
      <w:pPr>
        <w:ind w:left="340" w:right="340"/>
        <w:jc w:val="both"/>
        <w:rPr>
          <w:rFonts w:ascii="Arial" w:eastAsia="Arial" w:hAnsi="Arial" w:cs="Arial"/>
          <w:b/>
          <w:bCs/>
          <w:i/>
          <w:iCs/>
          <w:sz w:val="22"/>
          <w:szCs w:val="22"/>
        </w:rPr>
      </w:pPr>
    </w:p>
    <w:p w14:paraId="112A51F6" w14:textId="77777777" w:rsidR="00D62B60" w:rsidRPr="001D4BA1" w:rsidRDefault="00D62B60" w:rsidP="00D62B60">
      <w:pPr>
        <w:ind w:left="340" w:right="340"/>
        <w:jc w:val="both"/>
        <w:rPr>
          <w:rFonts w:ascii="Arial" w:eastAsia="Arial" w:hAnsi="Arial" w:cs="Arial"/>
          <w:b/>
          <w:bCs/>
          <w:i/>
          <w:iCs/>
          <w:sz w:val="22"/>
          <w:szCs w:val="22"/>
          <w:u w:val="single"/>
        </w:rPr>
      </w:pPr>
      <w:r w:rsidRPr="001D4BA1">
        <w:rPr>
          <w:rFonts w:ascii="Arial" w:eastAsia="Arial" w:hAnsi="Arial" w:cs="Arial"/>
          <w:b/>
          <w:bCs/>
          <w:i/>
          <w:iCs/>
          <w:sz w:val="22"/>
          <w:szCs w:val="22"/>
          <w:u w:val="single"/>
        </w:rPr>
        <w:t>5. FISURASEN TECHOS.</w:t>
      </w:r>
    </w:p>
    <w:p w14:paraId="1F97003E" w14:textId="77777777" w:rsidR="00D62B60" w:rsidRPr="001D4BA1" w:rsidRDefault="00D62B60" w:rsidP="00D62B60">
      <w:pPr>
        <w:ind w:right="340"/>
        <w:jc w:val="both"/>
        <w:rPr>
          <w:rFonts w:ascii="Arial" w:eastAsia="Arial" w:hAnsi="Arial" w:cs="Arial"/>
          <w:b/>
          <w:bCs/>
          <w:i/>
          <w:iCs/>
          <w:sz w:val="22"/>
          <w:szCs w:val="22"/>
        </w:rPr>
      </w:pPr>
    </w:p>
    <w:p w14:paraId="7EF11500" w14:textId="77777777" w:rsidR="00D62B60" w:rsidRPr="001D4BA1" w:rsidRDefault="00D62B60" w:rsidP="00D62B60">
      <w:pPr>
        <w:ind w:left="340" w:right="340"/>
        <w:jc w:val="both"/>
        <w:rPr>
          <w:rFonts w:ascii="Arial" w:eastAsia="Arial" w:hAnsi="Arial" w:cs="Arial"/>
          <w:i/>
          <w:iCs/>
          <w:sz w:val="22"/>
          <w:szCs w:val="22"/>
        </w:rPr>
      </w:pPr>
      <w:r w:rsidRPr="001D4BA1">
        <w:rPr>
          <w:rFonts w:ascii="Arial" w:eastAsia="Arial" w:hAnsi="Arial" w:cs="Arial"/>
          <w:i/>
          <w:iCs/>
          <w:sz w:val="22"/>
          <w:szCs w:val="22"/>
        </w:rPr>
        <w:t>Al momento de la visita la apoderada de la quejosa (mamá) indica que adquirieron el apartamento 811 del EDIFICIO MONTERREY, hace 4 años, y al cual le han hecho un mantenimientos preventivo y adecuaciones correctivas para eliminar el problema ya existente, y así evitar que vuelva a ocurrir. (pintura general del apartamento incluido los techos).</w:t>
      </w:r>
    </w:p>
    <w:p w14:paraId="01BF8FF9" w14:textId="77777777" w:rsidR="00D62B60" w:rsidRPr="001D4BA1" w:rsidRDefault="00D62B60" w:rsidP="00D62B60">
      <w:pPr>
        <w:ind w:left="340" w:right="340"/>
        <w:jc w:val="both"/>
        <w:rPr>
          <w:rFonts w:ascii="Arial" w:eastAsia="Arial" w:hAnsi="Arial" w:cs="Arial"/>
          <w:i/>
          <w:iCs/>
          <w:sz w:val="22"/>
          <w:szCs w:val="22"/>
        </w:rPr>
      </w:pPr>
    </w:p>
    <w:p w14:paraId="2D02F762" w14:textId="77777777" w:rsidR="00D62B60" w:rsidRPr="001D4BA1" w:rsidRDefault="00D62B60" w:rsidP="00D62B60">
      <w:pPr>
        <w:ind w:left="340" w:right="340"/>
        <w:jc w:val="both"/>
        <w:rPr>
          <w:rFonts w:ascii="Arial" w:eastAsia="Arial" w:hAnsi="Arial" w:cs="Arial"/>
          <w:i/>
          <w:iCs/>
          <w:sz w:val="22"/>
          <w:szCs w:val="22"/>
        </w:rPr>
      </w:pPr>
      <w:r w:rsidRPr="001D4BA1">
        <w:rPr>
          <w:rFonts w:ascii="Arial" w:eastAsia="Arial" w:hAnsi="Arial" w:cs="Arial"/>
          <w:i/>
          <w:iCs/>
          <w:sz w:val="22"/>
          <w:szCs w:val="22"/>
        </w:rPr>
        <w:t>Por lo anterior no se evidencia fisuras en los muros de la habitaciones.</w:t>
      </w:r>
    </w:p>
    <w:p w14:paraId="65D93FB8" w14:textId="77777777" w:rsidR="00D62B60" w:rsidRPr="001D4BA1" w:rsidRDefault="00D62B60" w:rsidP="00D62B60">
      <w:pPr>
        <w:ind w:left="340" w:right="340"/>
        <w:jc w:val="both"/>
        <w:rPr>
          <w:rFonts w:ascii="Arial" w:eastAsia="Arial" w:hAnsi="Arial" w:cs="Arial"/>
          <w:i/>
          <w:iCs/>
          <w:sz w:val="22"/>
          <w:szCs w:val="22"/>
        </w:rPr>
      </w:pPr>
    </w:p>
    <w:p w14:paraId="5A6E73DF" w14:textId="77777777" w:rsidR="00D62B60" w:rsidRPr="001D4BA1" w:rsidRDefault="00D62B60" w:rsidP="00D62B60">
      <w:pPr>
        <w:ind w:left="340" w:right="340"/>
        <w:jc w:val="both"/>
        <w:rPr>
          <w:rFonts w:ascii="Arial" w:eastAsia="Arial" w:hAnsi="Arial" w:cs="Arial"/>
          <w:i/>
          <w:iCs/>
          <w:sz w:val="22"/>
          <w:szCs w:val="22"/>
        </w:rPr>
      </w:pPr>
      <w:r w:rsidRPr="001D4BA1">
        <w:rPr>
          <w:rFonts w:ascii="Arial" w:eastAsia="Arial" w:hAnsi="Arial" w:cs="Arial"/>
          <w:i/>
          <w:iCs/>
          <w:sz w:val="22"/>
          <w:szCs w:val="22"/>
        </w:rPr>
        <w:t>La administración del EDIFICIO MONTERREY se encuentra realizando las obras de reforzamiento estructural para subsanar la continuidad del asentamiento, como resultado de un acuerdo jurídico que hicieron entre la constructora ALCABAMA y la copropiedad como resultado de una Acción Judicial.</w:t>
      </w:r>
    </w:p>
    <w:p w14:paraId="5A601FC8" w14:textId="77777777" w:rsidR="00D62B60" w:rsidRPr="001D4BA1" w:rsidRDefault="00D62B60" w:rsidP="00D62B60">
      <w:pPr>
        <w:ind w:left="340" w:right="340"/>
        <w:jc w:val="both"/>
        <w:rPr>
          <w:rFonts w:ascii="Arial" w:eastAsia="Arial" w:hAnsi="Arial" w:cs="Arial"/>
          <w:b/>
          <w:bCs/>
          <w:i/>
          <w:iCs/>
          <w:sz w:val="22"/>
          <w:szCs w:val="22"/>
        </w:rPr>
      </w:pPr>
    </w:p>
    <w:p w14:paraId="34B01978" w14:textId="77777777" w:rsidR="00D62B60" w:rsidRPr="001D4BA1" w:rsidRDefault="00D62B60" w:rsidP="00D62B60">
      <w:pPr>
        <w:ind w:left="340" w:right="340"/>
        <w:jc w:val="both"/>
        <w:rPr>
          <w:rFonts w:ascii="Arial" w:eastAsia="Arial" w:hAnsi="Arial" w:cs="Arial"/>
          <w:b/>
          <w:bCs/>
          <w:i/>
          <w:iCs/>
          <w:sz w:val="22"/>
          <w:szCs w:val="22"/>
          <w:u w:val="single"/>
        </w:rPr>
      </w:pPr>
      <w:r w:rsidRPr="001D4BA1">
        <w:rPr>
          <w:rFonts w:ascii="Arial" w:eastAsia="Arial" w:hAnsi="Arial" w:cs="Arial"/>
          <w:b/>
          <w:bCs/>
          <w:i/>
          <w:iCs/>
          <w:sz w:val="22"/>
          <w:szCs w:val="22"/>
          <w:u w:val="single"/>
        </w:rPr>
        <w:t>HECHO SUBSANADO POR EL QUEJOSO- NO PERSISTE</w:t>
      </w:r>
    </w:p>
    <w:p w14:paraId="62CDD3F4" w14:textId="77777777" w:rsidR="00D62B60" w:rsidRPr="001D4BA1" w:rsidRDefault="00D62B60" w:rsidP="00D62B60">
      <w:pPr>
        <w:ind w:left="340" w:right="340"/>
        <w:jc w:val="both"/>
        <w:rPr>
          <w:rFonts w:ascii="Arial" w:eastAsia="Arial" w:hAnsi="Arial" w:cs="Arial"/>
          <w:b/>
          <w:bCs/>
          <w:i/>
          <w:iCs/>
          <w:sz w:val="22"/>
          <w:szCs w:val="22"/>
        </w:rPr>
      </w:pPr>
    </w:p>
    <w:p w14:paraId="0D491CCC" w14:textId="77777777" w:rsidR="00D62B60" w:rsidRPr="001D4BA1" w:rsidRDefault="00D62B60" w:rsidP="00D62B60">
      <w:pPr>
        <w:ind w:left="340" w:right="340"/>
        <w:jc w:val="both"/>
        <w:rPr>
          <w:rFonts w:ascii="Arial" w:eastAsia="Arial" w:hAnsi="Arial" w:cs="Arial"/>
          <w:b/>
          <w:bCs/>
          <w:i/>
          <w:iCs/>
          <w:sz w:val="22"/>
          <w:szCs w:val="22"/>
          <w:u w:val="single"/>
        </w:rPr>
      </w:pPr>
      <w:r w:rsidRPr="001D4BA1">
        <w:rPr>
          <w:rFonts w:ascii="Arial" w:eastAsia="Arial" w:hAnsi="Arial" w:cs="Arial"/>
          <w:b/>
          <w:bCs/>
          <w:i/>
          <w:iCs/>
          <w:sz w:val="22"/>
          <w:szCs w:val="22"/>
          <w:u w:val="single"/>
        </w:rPr>
        <w:t>6. HUMEDADES EN VENTANAS</w:t>
      </w:r>
    </w:p>
    <w:p w14:paraId="48E279D4" w14:textId="77777777" w:rsidR="00D62B60" w:rsidRPr="001D4BA1" w:rsidRDefault="00D62B60" w:rsidP="00D62B60">
      <w:pPr>
        <w:ind w:right="340"/>
        <w:jc w:val="both"/>
        <w:rPr>
          <w:rFonts w:ascii="Arial" w:eastAsia="Arial" w:hAnsi="Arial" w:cs="Arial"/>
          <w:b/>
          <w:bCs/>
          <w:i/>
          <w:iCs/>
          <w:sz w:val="22"/>
          <w:szCs w:val="22"/>
        </w:rPr>
      </w:pPr>
    </w:p>
    <w:p w14:paraId="33688AF0" w14:textId="77777777" w:rsidR="00D62B60" w:rsidRPr="001D4BA1" w:rsidRDefault="00D62B60" w:rsidP="00D62B60">
      <w:pPr>
        <w:ind w:left="340" w:right="340"/>
        <w:jc w:val="both"/>
        <w:rPr>
          <w:rFonts w:ascii="Arial" w:eastAsia="Arial" w:hAnsi="Arial" w:cs="Arial"/>
          <w:i/>
          <w:iCs/>
          <w:sz w:val="22"/>
          <w:szCs w:val="22"/>
        </w:rPr>
      </w:pPr>
      <w:r w:rsidRPr="001D4BA1">
        <w:rPr>
          <w:rFonts w:ascii="Arial" w:eastAsia="Arial" w:hAnsi="Arial" w:cs="Arial"/>
          <w:i/>
          <w:iCs/>
          <w:sz w:val="22"/>
          <w:szCs w:val="22"/>
        </w:rPr>
        <w:t>Al momento de la visita la apoderada de la quejosa (mamá) indica que adquirieron el apartamento 811 del EDIFICIO MONTERREY, hace 4 años, y al cual le han hecho un mantenimientos preventivo y adecuaciones correctivas para eliminar el problema ya existente, y así evitar que vuelva a ocurrir. (pintura general del apartamento).</w:t>
      </w:r>
    </w:p>
    <w:p w14:paraId="4CA6F99F" w14:textId="77777777" w:rsidR="00D62B60" w:rsidRPr="001D4BA1" w:rsidRDefault="00D62B60" w:rsidP="00D62B60">
      <w:pPr>
        <w:ind w:left="340" w:right="340"/>
        <w:jc w:val="both"/>
        <w:rPr>
          <w:rFonts w:ascii="Arial" w:eastAsia="Arial" w:hAnsi="Arial" w:cs="Arial"/>
          <w:i/>
          <w:iCs/>
          <w:sz w:val="22"/>
          <w:szCs w:val="22"/>
        </w:rPr>
      </w:pPr>
    </w:p>
    <w:p w14:paraId="3CC319D6" w14:textId="77777777" w:rsidR="00D62B60" w:rsidRPr="001D4BA1" w:rsidRDefault="00D62B60" w:rsidP="00D62B60">
      <w:pPr>
        <w:ind w:left="340" w:right="340"/>
        <w:jc w:val="both"/>
        <w:rPr>
          <w:rFonts w:ascii="Arial" w:eastAsia="Arial" w:hAnsi="Arial" w:cs="Arial"/>
          <w:i/>
          <w:iCs/>
          <w:sz w:val="22"/>
          <w:szCs w:val="22"/>
        </w:rPr>
      </w:pPr>
      <w:r w:rsidRPr="001D4BA1">
        <w:rPr>
          <w:rFonts w:ascii="Arial" w:eastAsia="Arial" w:hAnsi="Arial" w:cs="Arial"/>
          <w:i/>
          <w:iCs/>
          <w:sz w:val="22"/>
          <w:szCs w:val="22"/>
        </w:rPr>
        <w:t>Pese al manteniendo hecho en el apartamento, florecen unas humedades muy puntuales, por lo que se considera se debe a la falta de un mantenimiento de fachadas y sellos en la parte exterior de la ventanearía de la sala comedor y balcón, en las habitaciones no se observa rasgo de humedades.</w:t>
      </w:r>
    </w:p>
    <w:p w14:paraId="23C2EEC0" w14:textId="77777777" w:rsidR="00D62B60" w:rsidRPr="001D4BA1" w:rsidRDefault="00D62B60" w:rsidP="00D62B60">
      <w:pPr>
        <w:ind w:left="340" w:right="340"/>
        <w:jc w:val="both"/>
        <w:rPr>
          <w:rFonts w:ascii="Arial" w:eastAsia="Arial" w:hAnsi="Arial" w:cs="Arial"/>
          <w:i/>
          <w:iCs/>
          <w:sz w:val="22"/>
          <w:szCs w:val="22"/>
        </w:rPr>
      </w:pPr>
    </w:p>
    <w:p w14:paraId="084E0496" w14:textId="77777777" w:rsidR="00D62B60" w:rsidRPr="001D4BA1" w:rsidRDefault="00D62B60" w:rsidP="00D62B60">
      <w:pPr>
        <w:ind w:left="340" w:right="340"/>
        <w:jc w:val="both"/>
        <w:rPr>
          <w:rFonts w:ascii="Arial" w:eastAsia="Arial" w:hAnsi="Arial" w:cs="Arial"/>
          <w:i/>
          <w:iCs/>
          <w:sz w:val="22"/>
          <w:szCs w:val="22"/>
        </w:rPr>
      </w:pPr>
      <w:r w:rsidRPr="001D4BA1">
        <w:rPr>
          <w:rFonts w:ascii="Arial" w:eastAsia="Arial" w:hAnsi="Arial" w:cs="Arial"/>
          <w:i/>
          <w:iCs/>
          <w:sz w:val="22"/>
          <w:szCs w:val="22"/>
        </w:rPr>
        <w:t xml:space="preserve">La administración del EDIFICIO MONTERREY se encuentra realizando las obras de reforzamiento estructural para subsanar la continuidad del asentamiento, como </w:t>
      </w:r>
      <w:r w:rsidRPr="001D4BA1">
        <w:rPr>
          <w:rFonts w:ascii="Arial" w:eastAsia="Arial" w:hAnsi="Arial" w:cs="Arial"/>
          <w:i/>
          <w:iCs/>
          <w:sz w:val="22"/>
          <w:szCs w:val="22"/>
        </w:rPr>
        <w:lastRenderedPageBreak/>
        <w:t>resultado de un acuerdo jurídico que hicieron entre la constructora ALCABAMA y la copropiedad como resultado de una Acción Judicial.</w:t>
      </w:r>
    </w:p>
    <w:p w14:paraId="341290E3" w14:textId="77777777" w:rsidR="00D62B60" w:rsidRPr="001D4BA1" w:rsidRDefault="00D62B60" w:rsidP="00D62B60">
      <w:pPr>
        <w:ind w:left="340" w:right="340"/>
        <w:jc w:val="both"/>
        <w:rPr>
          <w:rFonts w:ascii="Arial" w:eastAsia="Arial" w:hAnsi="Arial" w:cs="Arial"/>
          <w:b/>
          <w:bCs/>
          <w:i/>
          <w:iCs/>
          <w:sz w:val="22"/>
          <w:szCs w:val="22"/>
        </w:rPr>
      </w:pPr>
    </w:p>
    <w:p w14:paraId="474D1640" w14:textId="77777777" w:rsidR="00D62B60" w:rsidRPr="001D4BA1" w:rsidRDefault="00D62B60" w:rsidP="00D62B60">
      <w:pPr>
        <w:ind w:left="340" w:right="340"/>
        <w:jc w:val="both"/>
        <w:rPr>
          <w:rFonts w:ascii="Arial" w:eastAsia="Arial" w:hAnsi="Arial" w:cs="Arial"/>
          <w:i/>
          <w:iCs/>
          <w:sz w:val="22"/>
          <w:szCs w:val="22"/>
          <w:u w:val="single"/>
        </w:rPr>
      </w:pPr>
      <w:r w:rsidRPr="001D4BA1">
        <w:rPr>
          <w:rFonts w:ascii="Arial" w:eastAsia="Arial" w:hAnsi="Arial" w:cs="Arial"/>
          <w:b/>
          <w:bCs/>
          <w:i/>
          <w:iCs/>
          <w:sz w:val="22"/>
          <w:szCs w:val="22"/>
          <w:u w:val="single"/>
        </w:rPr>
        <w:t>HECHO SUBSANADO POR EL QUEJOSO- NO PERSISTE”</w:t>
      </w:r>
    </w:p>
    <w:p w14:paraId="29B5FF8E" w14:textId="122D3F59" w:rsidR="00C11A9D" w:rsidRPr="001D4BA1" w:rsidRDefault="00C11A9D">
      <w:pPr>
        <w:ind w:left="340" w:right="340"/>
        <w:jc w:val="both"/>
        <w:rPr>
          <w:rFonts w:ascii="Arial" w:eastAsia="Arial" w:hAnsi="Arial" w:cs="Arial"/>
          <w:sz w:val="22"/>
          <w:szCs w:val="22"/>
        </w:rPr>
      </w:pPr>
    </w:p>
    <w:p w14:paraId="62B17C60" w14:textId="77777777" w:rsidR="00C11A9D" w:rsidRPr="001D4BA1" w:rsidRDefault="00C11A9D">
      <w:pPr>
        <w:jc w:val="both"/>
        <w:rPr>
          <w:rFonts w:ascii="Arial" w:eastAsia="Arial" w:hAnsi="Arial" w:cs="Arial"/>
          <w:sz w:val="22"/>
          <w:szCs w:val="22"/>
        </w:rPr>
      </w:pPr>
    </w:p>
    <w:p w14:paraId="4DFD5B72" w14:textId="550F292D" w:rsidR="00C11A9D" w:rsidRPr="001D4BA1" w:rsidRDefault="00E252DE">
      <w:pPr>
        <w:jc w:val="both"/>
        <w:rPr>
          <w:rFonts w:ascii="Arial" w:eastAsia="Arial" w:hAnsi="Arial" w:cs="Arial"/>
          <w:sz w:val="22"/>
          <w:szCs w:val="22"/>
        </w:rPr>
      </w:pPr>
      <w:r w:rsidRPr="001D4BA1">
        <w:rPr>
          <w:rFonts w:ascii="Arial" w:eastAsia="Arial" w:hAnsi="Arial" w:cs="Arial"/>
          <w:sz w:val="22"/>
          <w:szCs w:val="22"/>
        </w:rPr>
        <w:t>De esta manera, se puede concluir que a la fecha no ha sido subsanada o en su defecto se ha probado el cumplimiento de la obligación de hacer, impuesta en la Resolución No. 728 del 14 de junio de 2022 a la sociedad enajenadora en mención, así como tampoco se ha demostrado que el quejoso o interesados hayan impedido la realización de las obras ordenadas</w:t>
      </w:r>
      <w:r w:rsidR="00D34837">
        <w:rPr>
          <w:rFonts w:ascii="Arial" w:eastAsia="Arial" w:hAnsi="Arial" w:cs="Arial"/>
          <w:sz w:val="22"/>
          <w:szCs w:val="22"/>
        </w:rPr>
        <w:t>, sino por el contrario ante la necesidad, el propio afectado se ha visto en la necesidad de realizar dichas obras.</w:t>
      </w:r>
    </w:p>
    <w:p w14:paraId="7849F1DD" w14:textId="77777777" w:rsidR="00C11A9D" w:rsidRPr="001D4BA1" w:rsidRDefault="00C11A9D">
      <w:pPr>
        <w:jc w:val="both"/>
        <w:rPr>
          <w:rFonts w:ascii="Arial" w:eastAsia="Arial" w:hAnsi="Arial" w:cs="Arial"/>
          <w:sz w:val="22"/>
          <w:szCs w:val="22"/>
          <w:highlight w:val="white"/>
        </w:rPr>
      </w:pPr>
    </w:p>
    <w:p w14:paraId="47D09F59" w14:textId="77777777" w:rsidR="00C11A9D" w:rsidRPr="001D4BA1" w:rsidRDefault="00E252DE">
      <w:pPr>
        <w:ind w:right="-92"/>
        <w:jc w:val="both"/>
        <w:rPr>
          <w:rFonts w:ascii="Arial" w:eastAsia="Arial" w:hAnsi="Arial" w:cs="Arial"/>
          <w:sz w:val="22"/>
          <w:szCs w:val="22"/>
        </w:rPr>
      </w:pPr>
      <w:r w:rsidRPr="001D4BA1">
        <w:rPr>
          <w:rFonts w:ascii="Arial" w:eastAsia="Arial" w:hAnsi="Arial" w:cs="Arial"/>
          <w:sz w:val="22"/>
          <w:szCs w:val="22"/>
        </w:rPr>
        <w:t xml:space="preserve">Estas pruebas valoradas en conjunto bajo la sana crítica, siendo pertinentes, útiles y conducentes, llevan al operador administrativo a la creencia fehaciente de que la orden aún continúa sin ser acatada y superada. </w:t>
      </w:r>
    </w:p>
    <w:p w14:paraId="297E011C" w14:textId="77777777" w:rsidR="00C11A9D" w:rsidRPr="001D4BA1" w:rsidRDefault="00C11A9D">
      <w:pPr>
        <w:jc w:val="both"/>
        <w:rPr>
          <w:rFonts w:ascii="Arial" w:eastAsia="Arial" w:hAnsi="Arial" w:cs="Arial"/>
          <w:sz w:val="22"/>
          <w:szCs w:val="22"/>
        </w:rPr>
      </w:pPr>
    </w:p>
    <w:p w14:paraId="61FD589A" w14:textId="77777777" w:rsidR="00C11A9D" w:rsidRPr="001D4BA1" w:rsidRDefault="00E252DE">
      <w:pPr>
        <w:pBdr>
          <w:top w:val="nil"/>
          <w:left w:val="nil"/>
          <w:bottom w:val="nil"/>
          <w:right w:val="nil"/>
          <w:between w:val="nil"/>
        </w:pBdr>
        <w:jc w:val="both"/>
        <w:rPr>
          <w:rFonts w:ascii="Arial" w:eastAsia="Arial" w:hAnsi="Arial" w:cs="Arial"/>
          <w:sz w:val="22"/>
          <w:szCs w:val="22"/>
          <w:highlight w:val="white"/>
        </w:rPr>
      </w:pPr>
      <w:r w:rsidRPr="001D4BA1">
        <w:rPr>
          <w:rFonts w:ascii="Arial" w:eastAsia="Arial" w:hAnsi="Arial" w:cs="Arial"/>
          <w:sz w:val="22"/>
          <w:szCs w:val="22"/>
          <w:highlight w:val="white"/>
        </w:rPr>
        <w:t>Aunado a lo anterior, es importante señalar que no corresponde a esta Dirección evidenciar o probar la subsanación de los hechos objeto de las órdenes de hacer de oficio, sino que, por el contrario, a la sancionada le corresponde allegar las pruebas que demuestren el cumplimiento de su obligación, tal y como lo establece el artículo tercero de la</w:t>
      </w:r>
      <w:r w:rsidRPr="001D4BA1">
        <w:rPr>
          <w:rFonts w:ascii="Arial" w:eastAsia="Arial" w:hAnsi="Arial" w:cs="Arial"/>
          <w:sz w:val="22"/>
          <w:szCs w:val="22"/>
        </w:rPr>
        <w:t xml:space="preserve"> Resolución No. 728 del 14 de junio de 2022,</w:t>
      </w:r>
      <w:r w:rsidRPr="001D4BA1">
        <w:rPr>
          <w:rFonts w:ascii="Arial" w:eastAsia="Arial" w:hAnsi="Arial" w:cs="Arial"/>
          <w:sz w:val="22"/>
          <w:szCs w:val="22"/>
          <w:highlight w:val="white"/>
        </w:rPr>
        <w:t xml:space="preserve"> en concordancia con el artículo 167 del Código General del proceso, al señalar que les corresponde a las partes probar el supuesto de hecho de las normas que consagran el efecto jurídico que ellas persiguen:</w:t>
      </w:r>
    </w:p>
    <w:p w14:paraId="4F3CE615" w14:textId="77777777" w:rsidR="00C11A9D" w:rsidRPr="001D4BA1" w:rsidRDefault="00C11A9D">
      <w:pPr>
        <w:jc w:val="both"/>
        <w:rPr>
          <w:rFonts w:ascii="Arial" w:eastAsia="Arial" w:hAnsi="Arial" w:cs="Arial"/>
          <w:sz w:val="22"/>
          <w:szCs w:val="22"/>
          <w:highlight w:val="white"/>
        </w:rPr>
      </w:pPr>
    </w:p>
    <w:p w14:paraId="6E53A12C" w14:textId="77777777" w:rsidR="00C11A9D" w:rsidRPr="001D4BA1" w:rsidRDefault="00E252DE">
      <w:pPr>
        <w:pBdr>
          <w:top w:val="nil"/>
          <w:left w:val="nil"/>
          <w:bottom w:val="nil"/>
          <w:right w:val="nil"/>
          <w:between w:val="nil"/>
        </w:pBdr>
        <w:ind w:left="567" w:right="50"/>
        <w:jc w:val="both"/>
        <w:rPr>
          <w:rFonts w:ascii="Arial" w:eastAsia="Arial" w:hAnsi="Arial" w:cs="Arial"/>
          <w:sz w:val="22"/>
          <w:szCs w:val="22"/>
        </w:rPr>
      </w:pPr>
      <w:r w:rsidRPr="001D4BA1">
        <w:rPr>
          <w:rFonts w:ascii="Arial" w:eastAsia="Arial" w:hAnsi="Arial" w:cs="Arial"/>
          <w:i/>
          <w:iCs/>
          <w:sz w:val="22"/>
          <w:szCs w:val="22"/>
          <w:highlight w:val="white"/>
        </w:rPr>
        <w:t>“</w:t>
      </w:r>
      <w:r w:rsidRPr="001D4BA1">
        <w:rPr>
          <w:rFonts w:ascii="Arial" w:eastAsia="Arial" w:hAnsi="Arial" w:cs="Arial"/>
          <w:b/>
          <w:bCs/>
          <w:i/>
          <w:iCs/>
          <w:sz w:val="22"/>
          <w:szCs w:val="22"/>
          <w:highlight w:val="white"/>
        </w:rPr>
        <w:t>ARTÍCULO 167. CARGA DE LA PRUEBA.</w:t>
      </w:r>
      <w:r w:rsidRPr="001D4BA1">
        <w:rPr>
          <w:rFonts w:ascii="Arial" w:eastAsia="Arial" w:hAnsi="Arial" w:cs="Arial"/>
          <w:i/>
          <w:iCs/>
          <w:sz w:val="22"/>
          <w:szCs w:val="22"/>
          <w:highlight w:val="white"/>
        </w:rPr>
        <w:t xml:space="preserve"> Incumbe a las partes probar el supuesto de hecho de las normas que consagran el efecto jurídico que ellas persiguen.</w:t>
      </w:r>
    </w:p>
    <w:p w14:paraId="195B0441" w14:textId="77777777" w:rsidR="00C11A9D" w:rsidRPr="001D4BA1" w:rsidRDefault="00E252DE">
      <w:pPr>
        <w:pBdr>
          <w:top w:val="nil"/>
          <w:left w:val="nil"/>
          <w:bottom w:val="nil"/>
          <w:right w:val="nil"/>
          <w:between w:val="nil"/>
        </w:pBdr>
        <w:ind w:left="567" w:right="50"/>
        <w:jc w:val="both"/>
        <w:rPr>
          <w:rFonts w:ascii="Arial" w:eastAsia="Arial" w:hAnsi="Arial" w:cs="Arial"/>
          <w:sz w:val="22"/>
          <w:szCs w:val="22"/>
        </w:rPr>
      </w:pPr>
      <w:r w:rsidRPr="001D4BA1">
        <w:rPr>
          <w:rFonts w:ascii="Arial" w:eastAsia="Arial" w:hAnsi="Arial" w:cs="Arial"/>
          <w:i/>
          <w:iCs/>
          <w:sz w:val="22"/>
          <w:szCs w:val="22"/>
          <w:highlight w:val="white"/>
        </w:rPr>
        <w:t> </w:t>
      </w:r>
    </w:p>
    <w:p w14:paraId="53BF0169" w14:textId="77777777" w:rsidR="00C11A9D" w:rsidRPr="001D4BA1" w:rsidRDefault="00E252DE">
      <w:pPr>
        <w:pBdr>
          <w:top w:val="nil"/>
          <w:left w:val="nil"/>
          <w:bottom w:val="nil"/>
          <w:right w:val="nil"/>
          <w:between w:val="nil"/>
        </w:pBdr>
        <w:ind w:left="567" w:right="50"/>
        <w:jc w:val="both"/>
        <w:rPr>
          <w:rFonts w:ascii="Arial" w:eastAsia="Arial" w:hAnsi="Arial" w:cs="Arial"/>
          <w:sz w:val="22"/>
          <w:szCs w:val="22"/>
        </w:rPr>
      </w:pPr>
      <w:r w:rsidRPr="001D4BA1">
        <w:rPr>
          <w:rFonts w:ascii="Arial" w:eastAsia="Arial" w:hAnsi="Arial" w:cs="Arial"/>
          <w:i/>
          <w:iCs/>
          <w:sz w:val="22"/>
          <w:szCs w:val="22"/>
          <w:highlight w:val="white"/>
        </w:rPr>
        <w:t>No obstante, según las particularidades del caso, el juez podrá, de oficio o a petición de parte, distribuir, la carga al decretar las pruebas, durante su práctica o en cualquier momento del proceso antes de fallar, exigiendo probar determinado hecho a la parte que se encuentre en una situación más favorable para aportar las evidencias o esclarecer los hechos controvertidos. La parte se considerará en mejor posición para probar en virtud de su cercanía con el material probatorio, por tener en su poder el objeto de prueba, por circunstancias técnicas especiales, por haber intervenido directamente en los hechos que dieron lugar al litigio, o por estado de indefensión o de incapacidad en la cual se encuentre la contraparte, entre otras circunstancias similares.</w:t>
      </w:r>
    </w:p>
    <w:p w14:paraId="61A60424" w14:textId="77777777" w:rsidR="00C11A9D" w:rsidRPr="001D4BA1" w:rsidRDefault="00E252DE">
      <w:pPr>
        <w:pBdr>
          <w:top w:val="nil"/>
          <w:left w:val="nil"/>
          <w:bottom w:val="nil"/>
          <w:right w:val="nil"/>
          <w:between w:val="nil"/>
        </w:pBdr>
        <w:ind w:left="567" w:right="50"/>
        <w:jc w:val="both"/>
        <w:rPr>
          <w:rFonts w:ascii="Arial" w:eastAsia="Arial" w:hAnsi="Arial" w:cs="Arial"/>
          <w:sz w:val="22"/>
          <w:szCs w:val="22"/>
        </w:rPr>
      </w:pPr>
      <w:r w:rsidRPr="001D4BA1">
        <w:rPr>
          <w:rFonts w:ascii="Arial" w:eastAsia="Arial" w:hAnsi="Arial" w:cs="Arial"/>
          <w:i/>
          <w:iCs/>
          <w:sz w:val="22"/>
          <w:szCs w:val="22"/>
          <w:highlight w:val="white"/>
        </w:rPr>
        <w:t> </w:t>
      </w:r>
    </w:p>
    <w:p w14:paraId="38F9C19B" w14:textId="77777777" w:rsidR="00C11A9D" w:rsidRPr="001D4BA1" w:rsidRDefault="00E252DE">
      <w:pPr>
        <w:pBdr>
          <w:top w:val="nil"/>
          <w:left w:val="nil"/>
          <w:bottom w:val="nil"/>
          <w:right w:val="nil"/>
          <w:between w:val="nil"/>
        </w:pBdr>
        <w:ind w:left="567" w:right="50"/>
        <w:jc w:val="both"/>
        <w:rPr>
          <w:rFonts w:ascii="Arial" w:eastAsia="Arial" w:hAnsi="Arial" w:cs="Arial"/>
          <w:sz w:val="22"/>
          <w:szCs w:val="22"/>
        </w:rPr>
      </w:pPr>
      <w:r w:rsidRPr="001D4BA1">
        <w:rPr>
          <w:rFonts w:ascii="Arial" w:eastAsia="Arial" w:hAnsi="Arial" w:cs="Arial"/>
          <w:i/>
          <w:iCs/>
          <w:sz w:val="22"/>
          <w:szCs w:val="22"/>
          <w:highlight w:val="white"/>
        </w:rPr>
        <w:t>Cuando el juez adopte esta decisión, que será susceptible de recurso, otorgará a la parte correspondiente el término necesario para aportar o solicitar la respectiva prueba, la cual se someterá a las reglas de contradicción previstas en este código.</w:t>
      </w:r>
    </w:p>
    <w:p w14:paraId="608519B2" w14:textId="77777777" w:rsidR="00C11A9D" w:rsidRPr="001D4BA1" w:rsidRDefault="00E252DE">
      <w:pPr>
        <w:pBdr>
          <w:top w:val="nil"/>
          <w:left w:val="nil"/>
          <w:bottom w:val="nil"/>
          <w:right w:val="nil"/>
          <w:between w:val="nil"/>
        </w:pBdr>
        <w:ind w:left="567" w:right="50"/>
        <w:jc w:val="both"/>
        <w:rPr>
          <w:rFonts w:ascii="Arial" w:eastAsia="Arial" w:hAnsi="Arial" w:cs="Arial"/>
          <w:sz w:val="22"/>
          <w:szCs w:val="22"/>
        </w:rPr>
      </w:pPr>
      <w:r w:rsidRPr="001D4BA1">
        <w:rPr>
          <w:rFonts w:ascii="Arial" w:eastAsia="Arial" w:hAnsi="Arial" w:cs="Arial"/>
          <w:i/>
          <w:iCs/>
          <w:sz w:val="22"/>
          <w:szCs w:val="22"/>
          <w:highlight w:val="white"/>
        </w:rPr>
        <w:t> </w:t>
      </w:r>
    </w:p>
    <w:p w14:paraId="6D3798F4" w14:textId="77777777" w:rsidR="00C11A9D" w:rsidRPr="001D4BA1" w:rsidRDefault="00E252DE">
      <w:pPr>
        <w:pBdr>
          <w:top w:val="nil"/>
          <w:left w:val="nil"/>
          <w:bottom w:val="nil"/>
          <w:right w:val="nil"/>
          <w:between w:val="nil"/>
        </w:pBdr>
        <w:ind w:left="567" w:right="50"/>
        <w:jc w:val="both"/>
        <w:rPr>
          <w:rFonts w:ascii="Arial" w:eastAsia="Arial" w:hAnsi="Arial" w:cs="Arial"/>
          <w:sz w:val="22"/>
          <w:szCs w:val="22"/>
        </w:rPr>
      </w:pPr>
      <w:r w:rsidRPr="001D4BA1">
        <w:rPr>
          <w:rFonts w:ascii="Arial" w:eastAsia="Arial" w:hAnsi="Arial" w:cs="Arial"/>
          <w:i/>
          <w:iCs/>
          <w:sz w:val="22"/>
          <w:szCs w:val="22"/>
          <w:highlight w:val="white"/>
        </w:rPr>
        <w:lastRenderedPageBreak/>
        <w:t>Los hechos notorios y las afirmaciones o negaciones indefinidas no requieren prueba.”.</w:t>
      </w:r>
    </w:p>
    <w:p w14:paraId="08F3B9F0" w14:textId="77777777" w:rsidR="00C11A9D" w:rsidRPr="001D4BA1" w:rsidRDefault="00E252DE">
      <w:pPr>
        <w:pBdr>
          <w:top w:val="nil"/>
          <w:left w:val="nil"/>
          <w:bottom w:val="nil"/>
          <w:right w:val="nil"/>
          <w:between w:val="nil"/>
        </w:pBdr>
        <w:jc w:val="both"/>
        <w:rPr>
          <w:rFonts w:ascii="Arial" w:eastAsia="Arial" w:hAnsi="Arial" w:cs="Arial"/>
          <w:sz w:val="22"/>
          <w:szCs w:val="22"/>
        </w:rPr>
      </w:pPr>
      <w:r w:rsidRPr="001D4BA1">
        <w:rPr>
          <w:rFonts w:ascii="Arial" w:eastAsia="Arial" w:hAnsi="Arial" w:cs="Arial"/>
          <w:i/>
          <w:iCs/>
          <w:sz w:val="22"/>
          <w:szCs w:val="22"/>
          <w:highlight w:val="white"/>
        </w:rPr>
        <w:t> </w:t>
      </w:r>
    </w:p>
    <w:p w14:paraId="0930D1E1" w14:textId="77777777" w:rsidR="00C11A9D" w:rsidRPr="001D4BA1" w:rsidRDefault="00E252DE">
      <w:pPr>
        <w:jc w:val="both"/>
        <w:rPr>
          <w:rFonts w:ascii="Arial" w:eastAsia="Arial" w:hAnsi="Arial" w:cs="Arial"/>
          <w:sz w:val="22"/>
          <w:szCs w:val="22"/>
        </w:rPr>
      </w:pPr>
      <w:r w:rsidRPr="001D4BA1">
        <w:rPr>
          <w:rFonts w:ascii="Arial" w:eastAsia="Arial" w:hAnsi="Arial" w:cs="Arial"/>
          <w:sz w:val="22"/>
          <w:szCs w:val="22"/>
        </w:rPr>
        <w:t>En efecto, es obligación de la sociedad enajenadora informar a este Despacho de las actuaciones tendientes a solucionar de manera efectiva los hechos objeto de la sanción por las deficiencias constructivas, toda vez que la misma proviene de una orden impuesta; sin embargo, como se demostró en el expediente, a la fecha no obra prueba alguna que permita establecer que los hechos han sido superados de manera definitiva, o que el quejoso o interesado han impedido la realización de las obras ordenadas, pese a que ha contado con el término suficiente para ello, situación que conlleva a la imposición de multas, en los términos citados en párrafos anteriores.</w:t>
      </w:r>
    </w:p>
    <w:p w14:paraId="30F0663A" w14:textId="77777777" w:rsidR="00C11A9D" w:rsidRPr="001D4BA1" w:rsidRDefault="00C11A9D">
      <w:pPr>
        <w:ind w:left="360"/>
        <w:jc w:val="both"/>
        <w:rPr>
          <w:rFonts w:ascii="Arial" w:eastAsia="Arial" w:hAnsi="Arial" w:cs="Arial"/>
          <w:b/>
          <w:bCs/>
          <w:sz w:val="22"/>
          <w:szCs w:val="22"/>
          <w:highlight w:val="white"/>
        </w:rPr>
      </w:pPr>
    </w:p>
    <w:p w14:paraId="118E8F79" w14:textId="77777777" w:rsidR="00C11A9D" w:rsidRPr="001D4BA1" w:rsidRDefault="00E252DE">
      <w:pPr>
        <w:jc w:val="both"/>
        <w:rPr>
          <w:rFonts w:ascii="Arial" w:eastAsia="Arial" w:hAnsi="Arial" w:cs="Arial"/>
          <w:b/>
          <w:bCs/>
          <w:sz w:val="22"/>
          <w:szCs w:val="22"/>
          <w:highlight w:val="white"/>
        </w:rPr>
      </w:pPr>
      <w:r w:rsidRPr="001D4BA1">
        <w:rPr>
          <w:rFonts w:ascii="Arial" w:eastAsia="Arial" w:hAnsi="Arial" w:cs="Arial"/>
          <w:b/>
          <w:bCs/>
          <w:sz w:val="22"/>
          <w:szCs w:val="22"/>
          <w:highlight w:val="white"/>
        </w:rPr>
        <w:t>Graduación de la sanción.</w:t>
      </w:r>
    </w:p>
    <w:p w14:paraId="2522C49D" w14:textId="77777777" w:rsidR="00C11A9D" w:rsidRPr="001D4BA1" w:rsidRDefault="00C11A9D">
      <w:pPr>
        <w:jc w:val="both"/>
        <w:rPr>
          <w:rFonts w:ascii="Arial" w:eastAsia="Arial" w:hAnsi="Arial" w:cs="Arial"/>
          <w:sz w:val="22"/>
          <w:szCs w:val="22"/>
          <w:highlight w:val="white"/>
        </w:rPr>
      </w:pPr>
    </w:p>
    <w:p w14:paraId="41DD8298" w14:textId="77777777" w:rsidR="00C11A9D" w:rsidRPr="001D4BA1" w:rsidRDefault="00E252DE">
      <w:pPr>
        <w:jc w:val="both"/>
        <w:rPr>
          <w:rFonts w:ascii="Arial" w:eastAsia="Arial" w:hAnsi="Arial" w:cs="Arial"/>
          <w:sz w:val="22"/>
          <w:szCs w:val="22"/>
          <w:highlight w:val="white"/>
        </w:rPr>
      </w:pPr>
      <w:r w:rsidRPr="001D4BA1">
        <w:rPr>
          <w:rFonts w:ascii="Arial" w:eastAsia="Arial" w:hAnsi="Arial" w:cs="Arial"/>
          <w:sz w:val="22"/>
          <w:szCs w:val="22"/>
          <w:highlight w:val="white"/>
        </w:rPr>
        <w:t>El parámetro fundamental para la graduación de las multas es el carácter leve, grave o gravísimo que se le asigna a las afectaciones dentro del trámite de la actuación, conforme a las definiciones del artículo 112 del Decreto Distrital 653 de 2025. Estas tres categorías modulan la infracción al derecho a la vivienda digna como máximo bien jurídico tutelado dentro de las actuaciones por deficiencias constructivas y/o desmejoramientos de especificaciones técnicas que adelanta esta Dirección.</w:t>
      </w:r>
    </w:p>
    <w:p w14:paraId="69E7C69A" w14:textId="77777777" w:rsidR="00C11A9D" w:rsidRPr="001D4BA1" w:rsidRDefault="00C11A9D">
      <w:pPr>
        <w:jc w:val="both"/>
        <w:rPr>
          <w:rFonts w:ascii="Arial" w:eastAsia="Arial" w:hAnsi="Arial" w:cs="Arial"/>
          <w:sz w:val="22"/>
          <w:szCs w:val="22"/>
          <w:highlight w:val="white"/>
        </w:rPr>
      </w:pPr>
    </w:p>
    <w:p w14:paraId="7BBAE36C" w14:textId="77777777" w:rsidR="00C11A9D" w:rsidRPr="001D4BA1" w:rsidRDefault="00E252DE">
      <w:pPr>
        <w:jc w:val="both"/>
        <w:rPr>
          <w:rFonts w:ascii="Arial" w:eastAsia="Arial" w:hAnsi="Arial" w:cs="Arial"/>
          <w:sz w:val="22"/>
          <w:szCs w:val="22"/>
          <w:highlight w:val="white"/>
        </w:rPr>
      </w:pPr>
      <w:r w:rsidRPr="001D4BA1">
        <w:rPr>
          <w:rFonts w:ascii="Arial" w:eastAsia="Arial" w:hAnsi="Arial" w:cs="Arial"/>
          <w:sz w:val="22"/>
          <w:szCs w:val="22"/>
          <w:highlight w:val="white"/>
        </w:rPr>
        <w:t>Dicha categorización apunta a diferenciar si se vulneran las condiciones de habitabilidad o de uso de la vivienda o sus condiciones estructurales, por tanto, constituyen el marco para la aplicación de los principios de razonabilidad y proporcionalidad en la motivación de la multa. En el presente caso se determinó que las afectaciones son de carácter gravísima, como se evidencia en el artículo segundo de la Resolución No. 728 del 14 de junio de 2022.</w:t>
      </w:r>
    </w:p>
    <w:p w14:paraId="4BB3B280" w14:textId="77777777" w:rsidR="00C11A9D" w:rsidRPr="001D4BA1" w:rsidRDefault="00C11A9D">
      <w:pPr>
        <w:jc w:val="both"/>
        <w:rPr>
          <w:rFonts w:ascii="Arial" w:eastAsia="Arial" w:hAnsi="Arial" w:cs="Arial"/>
          <w:sz w:val="22"/>
          <w:szCs w:val="22"/>
          <w:highlight w:val="white"/>
        </w:rPr>
      </w:pPr>
    </w:p>
    <w:p w14:paraId="47D3B38A" w14:textId="77777777" w:rsidR="00C11A9D" w:rsidRPr="001D4BA1" w:rsidRDefault="00E252DE">
      <w:pPr>
        <w:jc w:val="both"/>
        <w:rPr>
          <w:rFonts w:ascii="Arial" w:eastAsia="Arial" w:hAnsi="Arial" w:cs="Arial"/>
          <w:sz w:val="22"/>
          <w:szCs w:val="22"/>
          <w:highlight w:val="white"/>
        </w:rPr>
      </w:pPr>
      <w:r w:rsidRPr="001D4BA1">
        <w:rPr>
          <w:rFonts w:ascii="Arial" w:eastAsia="Arial" w:hAnsi="Arial" w:cs="Arial"/>
          <w:sz w:val="22"/>
          <w:szCs w:val="22"/>
          <w:highlight w:val="white"/>
        </w:rPr>
        <w:t>Es por ello por lo que esta Dirección gradúa las multas que impone, cuando hay lugar a ello, atendiendo los criterios establecidos en el artículo 50 del Código de Procedimiento Administrativo y de lo Contencioso Administrativo, que se logren establecer en la actuación administrativa.</w:t>
      </w:r>
    </w:p>
    <w:p w14:paraId="1F9B8336" w14:textId="77777777" w:rsidR="00C11A9D" w:rsidRPr="001D4BA1" w:rsidRDefault="00C11A9D">
      <w:pPr>
        <w:ind w:right="567"/>
        <w:jc w:val="both"/>
        <w:rPr>
          <w:rFonts w:ascii="Arial" w:eastAsia="Arial" w:hAnsi="Arial" w:cs="Arial"/>
          <w:i/>
          <w:iCs/>
          <w:sz w:val="22"/>
          <w:szCs w:val="22"/>
        </w:rPr>
      </w:pPr>
    </w:p>
    <w:p w14:paraId="2C056C6F" w14:textId="77777777" w:rsidR="00C11A9D" w:rsidRPr="001D4BA1" w:rsidRDefault="00E252DE">
      <w:pPr>
        <w:tabs>
          <w:tab w:val="left" w:pos="284"/>
        </w:tabs>
        <w:jc w:val="both"/>
        <w:rPr>
          <w:rFonts w:ascii="Arial" w:eastAsia="Arial" w:hAnsi="Arial" w:cs="Arial"/>
          <w:sz w:val="22"/>
          <w:szCs w:val="22"/>
        </w:rPr>
      </w:pPr>
      <w:r w:rsidRPr="001D4BA1">
        <w:rPr>
          <w:rFonts w:ascii="Arial" w:eastAsia="Arial" w:hAnsi="Arial" w:cs="Arial"/>
          <w:sz w:val="22"/>
          <w:szCs w:val="22"/>
        </w:rPr>
        <w:t>Así las cosas, el artículo 50 de la Ley 1437 de 2011 establece que, en la determinación de la gravedad de la falta y el rigor de la sanción se han de considerar los criterios expresamente previstos allí.</w:t>
      </w:r>
    </w:p>
    <w:p w14:paraId="671DB28B" w14:textId="77777777" w:rsidR="00C11A9D" w:rsidRPr="001D4BA1" w:rsidRDefault="00C11A9D">
      <w:pPr>
        <w:jc w:val="both"/>
        <w:rPr>
          <w:rFonts w:ascii="Arial" w:eastAsia="Arial" w:hAnsi="Arial" w:cs="Arial"/>
          <w:sz w:val="22"/>
          <w:szCs w:val="22"/>
        </w:rPr>
      </w:pPr>
    </w:p>
    <w:p w14:paraId="79575EA0" w14:textId="77777777" w:rsidR="00C11A9D" w:rsidRPr="001D4BA1" w:rsidRDefault="00E252DE">
      <w:pPr>
        <w:tabs>
          <w:tab w:val="left" w:pos="284"/>
        </w:tabs>
        <w:jc w:val="both"/>
        <w:rPr>
          <w:rFonts w:ascii="Arial" w:eastAsia="Arial" w:hAnsi="Arial" w:cs="Arial"/>
          <w:sz w:val="22"/>
          <w:szCs w:val="22"/>
        </w:rPr>
      </w:pPr>
      <w:r w:rsidRPr="001D4BA1">
        <w:rPr>
          <w:rFonts w:ascii="Arial" w:eastAsia="Arial" w:hAnsi="Arial" w:cs="Arial"/>
          <w:sz w:val="22"/>
          <w:szCs w:val="22"/>
        </w:rPr>
        <w:t>Bajo las anteriores consideraciones, una vez evaluada la conducta objeto de reproche desde sus diferentes dimensiones y teniendo en cuenta los criterios normativos señalados, a los cuales se encuentra sujeta la discrecionalidad de la administración, esta Dirección iniciará la definición de la sanción que resulte necesario imponer, frente a la conducta desplegada por parte de la sociedad enajenadora investigada a saber:</w:t>
      </w:r>
    </w:p>
    <w:p w14:paraId="27D6220D" w14:textId="77777777" w:rsidR="00C11A9D" w:rsidRPr="001D4BA1" w:rsidRDefault="00C11A9D">
      <w:pPr>
        <w:pBdr>
          <w:top w:val="nil"/>
          <w:left w:val="nil"/>
          <w:bottom w:val="nil"/>
          <w:right w:val="nil"/>
          <w:between w:val="nil"/>
        </w:pBdr>
        <w:tabs>
          <w:tab w:val="left" w:pos="284"/>
        </w:tabs>
        <w:jc w:val="both"/>
        <w:rPr>
          <w:rFonts w:ascii="Arial" w:eastAsia="Arial" w:hAnsi="Arial" w:cs="Arial"/>
          <w:b/>
          <w:bCs/>
          <w:sz w:val="22"/>
          <w:szCs w:val="22"/>
        </w:rPr>
      </w:pPr>
    </w:p>
    <w:p w14:paraId="5CE52536" w14:textId="77777777" w:rsidR="00C11A9D" w:rsidRPr="001D4BA1" w:rsidRDefault="00E252DE">
      <w:pPr>
        <w:pBdr>
          <w:top w:val="nil"/>
          <w:left w:val="nil"/>
          <w:bottom w:val="nil"/>
          <w:right w:val="nil"/>
          <w:between w:val="nil"/>
        </w:pBdr>
        <w:tabs>
          <w:tab w:val="left" w:pos="284"/>
        </w:tabs>
        <w:jc w:val="both"/>
        <w:rPr>
          <w:rFonts w:ascii="Arial" w:eastAsia="Arial" w:hAnsi="Arial" w:cs="Arial"/>
          <w:sz w:val="22"/>
          <w:szCs w:val="22"/>
        </w:rPr>
      </w:pPr>
      <w:r w:rsidRPr="001D4BA1">
        <w:rPr>
          <w:rFonts w:ascii="Arial" w:eastAsia="Arial" w:hAnsi="Arial" w:cs="Arial"/>
          <w:b/>
          <w:bCs/>
          <w:sz w:val="22"/>
          <w:szCs w:val="22"/>
        </w:rPr>
        <w:lastRenderedPageBreak/>
        <w:t>Daño o peligro generado a los intereses jurídicos tutelados:</w:t>
      </w:r>
      <w:r w:rsidRPr="001D4BA1">
        <w:rPr>
          <w:rFonts w:ascii="Arial" w:eastAsia="Arial" w:hAnsi="Arial" w:cs="Arial"/>
          <w:sz w:val="22"/>
          <w:szCs w:val="22"/>
        </w:rPr>
        <w:t xml:space="preserve"> Este criterio alude bien a que se produzca un daño al interés jurídico protegido por la norma infringida, o a que simplemente se ponga en peligro. </w:t>
      </w:r>
    </w:p>
    <w:p w14:paraId="5DD17650" w14:textId="77777777" w:rsidR="00C11A9D" w:rsidRPr="001D4BA1" w:rsidRDefault="00C11A9D">
      <w:pPr>
        <w:pBdr>
          <w:top w:val="nil"/>
          <w:left w:val="nil"/>
          <w:bottom w:val="nil"/>
          <w:right w:val="nil"/>
          <w:between w:val="nil"/>
        </w:pBdr>
        <w:tabs>
          <w:tab w:val="left" w:pos="284"/>
        </w:tabs>
        <w:jc w:val="both"/>
        <w:rPr>
          <w:rFonts w:ascii="Arial" w:eastAsia="Arial" w:hAnsi="Arial" w:cs="Arial"/>
          <w:sz w:val="22"/>
          <w:szCs w:val="22"/>
        </w:rPr>
      </w:pPr>
    </w:p>
    <w:p w14:paraId="47B4B1E7" w14:textId="77777777" w:rsidR="00C11A9D" w:rsidRPr="001D4BA1" w:rsidRDefault="00E252DE">
      <w:pPr>
        <w:jc w:val="both"/>
        <w:rPr>
          <w:rFonts w:ascii="Arial" w:eastAsia="Arial" w:hAnsi="Arial" w:cs="Arial"/>
          <w:sz w:val="22"/>
          <w:szCs w:val="22"/>
        </w:rPr>
      </w:pPr>
      <w:r w:rsidRPr="001D4BA1">
        <w:rPr>
          <w:rFonts w:ascii="Arial" w:eastAsia="Arial" w:hAnsi="Arial" w:cs="Arial"/>
          <w:sz w:val="22"/>
          <w:szCs w:val="22"/>
        </w:rPr>
        <w:t>E</w:t>
      </w:r>
      <w:r w:rsidRPr="001D4BA1">
        <w:rPr>
          <w:rFonts w:ascii="Arial" w:eastAsia="Arial" w:hAnsi="Arial" w:cs="Arial"/>
          <w:sz w:val="22"/>
          <w:szCs w:val="22"/>
          <w:highlight w:val="white"/>
        </w:rPr>
        <w:t>n este caso se evidencia que la sociedad enajenadora no ha dado cumplimiento a las órdenes de hacer, aun cuando es de su conocimiento que contaba con el término de dieciocho (18) meses para realizar los trabajos tendientes a solucionar en forma definitiva los hechos objeto de sanción</w:t>
      </w:r>
      <w:r w:rsidRPr="001D4BA1">
        <w:rPr>
          <w:rFonts w:ascii="Arial" w:eastAsia="Arial" w:hAnsi="Arial" w:cs="Arial"/>
          <w:sz w:val="22"/>
          <w:szCs w:val="22"/>
        </w:rPr>
        <w:t>.</w:t>
      </w:r>
    </w:p>
    <w:p w14:paraId="7A19D8C2" w14:textId="77777777" w:rsidR="00C11A9D" w:rsidRPr="001D4BA1" w:rsidRDefault="00E252DE">
      <w:pPr>
        <w:jc w:val="both"/>
        <w:rPr>
          <w:rFonts w:ascii="Arial" w:eastAsia="Arial" w:hAnsi="Arial" w:cs="Arial"/>
          <w:sz w:val="22"/>
          <w:szCs w:val="22"/>
          <w:highlight w:val="white"/>
        </w:rPr>
      </w:pPr>
      <w:r w:rsidRPr="001D4BA1">
        <w:rPr>
          <w:rFonts w:ascii="Arial" w:eastAsia="Arial" w:hAnsi="Arial" w:cs="Arial"/>
          <w:sz w:val="22"/>
          <w:szCs w:val="22"/>
        </w:rPr>
        <w:tab/>
      </w:r>
      <w:r w:rsidRPr="001D4BA1">
        <w:rPr>
          <w:rFonts w:ascii="Arial" w:eastAsia="Arial" w:hAnsi="Arial" w:cs="Arial"/>
          <w:sz w:val="22"/>
          <w:szCs w:val="22"/>
          <w:highlight w:val="white"/>
        </w:rPr>
        <w:t xml:space="preserve"> </w:t>
      </w:r>
    </w:p>
    <w:p w14:paraId="4C9D959E" w14:textId="77777777" w:rsidR="00C11A9D" w:rsidRPr="001D4BA1" w:rsidRDefault="00E252DE">
      <w:pPr>
        <w:jc w:val="both"/>
        <w:rPr>
          <w:rFonts w:ascii="Arial" w:eastAsia="Arial" w:hAnsi="Arial" w:cs="Arial"/>
          <w:sz w:val="22"/>
          <w:szCs w:val="22"/>
        </w:rPr>
      </w:pPr>
      <w:r w:rsidRPr="001D4BA1">
        <w:rPr>
          <w:rFonts w:ascii="Arial" w:eastAsia="Arial" w:hAnsi="Arial" w:cs="Arial"/>
          <w:sz w:val="22"/>
          <w:szCs w:val="22"/>
        </w:rPr>
        <w:t>Por lo anterior, este criterio resulta aplicable al caso concreto, razón por la cual se tendrá en cuenta para la graduación de la sanción que resulte procedente de acuerdo con los cargos endilgados en la Resolución No. 728 del 14 de junio de 2022.</w:t>
      </w:r>
    </w:p>
    <w:p w14:paraId="5481B413" w14:textId="77777777" w:rsidR="00C11A9D" w:rsidRPr="001D4BA1" w:rsidRDefault="00C11A9D">
      <w:pPr>
        <w:jc w:val="both"/>
        <w:rPr>
          <w:rFonts w:ascii="Arial" w:eastAsia="Arial" w:hAnsi="Arial" w:cs="Arial"/>
          <w:sz w:val="22"/>
          <w:szCs w:val="22"/>
        </w:rPr>
      </w:pPr>
    </w:p>
    <w:p w14:paraId="0EE62967" w14:textId="41AB7998" w:rsidR="00C11A9D" w:rsidRPr="001D4BA1" w:rsidRDefault="00E252DE">
      <w:pPr>
        <w:jc w:val="both"/>
        <w:rPr>
          <w:rFonts w:ascii="Arial" w:eastAsia="Arial" w:hAnsi="Arial" w:cs="Arial"/>
          <w:b/>
          <w:bCs/>
          <w:sz w:val="22"/>
          <w:szCs w:val="22"/>
        </w:rPr>
      </w:pPr>
      <w:r w:rsidRPr="001D4BA1">
        <w:rPr>
          <w:rFonts w:ascii="Arial" w:eastAsia="Arial" w:hAnsi="Arial" w:cs="Arial"/>
          <w:b/>
          <w:bCs/>
          <w:sz w:val="22"/>
          <w:szCs w:val="22"/>
        </w:rPr>
        <w:t xml:space="preserve">Beneficio económico por el infractor para sí o a favor de un tercero: </w:t>
      </w:r>
      <w:r w:rsidRPr="001D4BA1">
        <w:rPr>
          <w:rFonts w:ascii="Arial" w:eastAsia="Arial" w:hAnsi="Arial" w:cs="Arial"/>
          <w:sz w:val="22"/>
          <w:szCs w:val="22"/>
        </w:rPr>
        <w:t>No se observa en el desarrollo de la presente actuación administrativa de seguimiento que la sociedad enajenadora INVERSIONES ALCABAMA S.A</w:t>
      </w:r>
      <w:r w:rsidR="00D34837">
        <w:rPr>
          <w:rFonts w:ascii="Arial" w:eastAsia="Arial" w:hAnsi="Arial" w:cs="Arial"/>
          <w:sz w:val="22"/>
          <w:szCs w:val="22"/>
        </w:rPr>
        <w:t>.</w:t>
      </w:r>
      <w:r w:rsidRPr="001D4BA1">
        <w:rPr>
          <w:rFonts w:ascii="Arial" w:eastAsia="Arial" w:hAnsi="Arial" w:cs="Arial"/>
          <w:sz w:val="22"/>
          <w:szCs w:val="22"/>
        </w:rPr>
        <w:t>, obtuviera,</w:t>
      </w:r>
      <w:r w:rsidRPr="001D4BA1">
        <w:rPr>
          <w:rFonts w:ascii="Arial" w:eastAsia="Arial" w:hAnsi="Arial" w:cs="Arial"/>
          <w:b/>
          <w:bCs/>
          <w:sz w:val="22"/>
          <w:szCs w:val="22"/>
        </w:rPr>
        <w:t xml:space="preserve"> </w:t>
      </w:r>
      <w:r w:rsidRPr="001D4BA1">
        <w:rPr>
          <w:rFonts w:ascii="Arial" w:eastAsia="Arial" w:hAnsi="Arial" w:cs="Arial"/>
          <w:sz w:val="22"/>
          <w:szCs w:val="22"/>
        </w:rPr>
        <w:t>para sí</w:t>
      </w:r>
      <w:r w:rsidRPr="001D4BA1">
        <w:rPr>
          <w:rFonts w:ascii="Arial" w:eastAsia="Arial" w:hAnsi="Arial" w:cs="Arial"/>
          <w:b/>
          <w:bCs/>
          <w:sz w:val="22"/>
          <w:szCs w:val="22"/>
        </w:rPr>
        <w:t xml:space="preserve"> </w:t>
      </w:r>
      <w:r w:rsidRPr="001D4BA1">
        <w:rPr>
          <w:rFonts w:ascii="Arial" w:eastAsia="Arial" w:hAnsi="Arial" w:cs="Arial"/>
          <w:sz w:val="22"/>
          <w:szCs w:val="22"/>
        </w:rPr>
        <w:t>o en favor de un tercero,</w:t>
      </w:r>
      <w:r w:rsidRPr="001D4BA1">
        <w:rPr>
          <w:rFonts w:ascii="Arial" w:eastAsia="Arial" w:hAnsi="Arial" w:cs="Arial"/>
          <w:b/>
          <w:bCs/>
          <w:sz w:val="22"/>
          <w:szCs w:val="22"/>
        </w:rPr>
        <w:t xml:space="preserve"> </w:t>
      </w:r>
      <w:r w:rsidRPr="001D4BA1">
        <w:rPr>
          <w:rFonts w:ascii="Arial" w:eastAsia="Arial" w:hAnsi="Arial" w:cs="Arial"/>
          <w:sz w:val="22"/>
          <w:szCs w:val="22"/>
        </w:rPr>
        <w:t xml:space="preserve">algún beneficio económico en la presente investigación, por lo que este criterio no resulta aplicable para graduar la sanción a imponer. </w:t>
      </w:r>
    </w:p>
    <w:p w14:paraId="2ECF087F" w14:textId="77777777" w:rsidR="00C11A9D" w:rsidRPr="001D4BA1" w:rsidRDefault="00C11A9D">
      <w:pPr>
        <w:jc w:val="both"/>
        <w:rPr>
          <w:rFonts w:ascii="Arial" w:eastAsia="Arial" w:hAnsi="Arial" w:cs="Arial"/>
          <w:sz w:val="22"/>
          <w:szCs w:val="22"/>
        </w:rPr>
      </w:pPr>
    </w:p>
    <w:p w14:paraId="5785ACD4" w14:textId="2CAA53FB" w:rsidR="00C11A9D" w:rsidRPr="001D4BA1" w:rsidRDefault="00E252DE">
      <w:pPr>
        <w:jc w:val="both"/>
        <w:rPr>
          <w:rFonts w:ascii="Arial" w:eastAsia="Arial" w:hAnsi="Arial" w:cs="Arial"/>
          <w:b/>
          <w:bCs/>
          <w:sz w:val="22"/>
          <w:szCs w:val="22"/>
        </w:rPr>
      </w:pPr>
      <w:r w:rsidRPr="001D4BA1">
        <w:rPr>
          <w:rFonts w:ascii="Arial" w:eastAsia="Arial" w:hAnsi="Arial" w:cs="Arial"/>
          <w:b/>
          <w:bCs/>
          <w:sz w:val="22"/>
          <w:szCs w:val="22"/>
        </w:rPr>
        <w:t>Reincidencia:</w:t>
      </w:r>
      <w:r w:rsidRPr="001D4BA1">
        <w:rPr>
          <w:rFonts w:ascii="Arial" w:eastAsia="Arial" w:hAnsi="Arial" w:cs="Arial"/>
          <w:sz w:val="22"/>
          <w:szCs w:val="22"/>
        </w:rPr>
        <w:t xml:space="preserve"> Consultado el expediente, no se evidencia que la sociedad enajenadora INVERSIONES ALCABAMA S.A</w:t>
      </w:r>
      <w:r w:rsidR="00D34837">
        <w:rPr>
          <w:rFonts w:ascii="Arial" w:eastAsia="Arial" w:hAnsi="Arial" w:cs="Arial"/>
          <w:sz w:val="22"/>
          <w:szCs w:val="22"/>
        </w:rPr>
        <w:t>.,</w:t>
      </w:r>
      <w:r w:rsidRPr="001D4BA1">
        <w:rPr>
          <w:rFonts w:ascii="Arial" w:eastAsia="Arial" w:hAnsi="Arial" w:cs="Arial"/>
          <w:sz w:val="22"/>
          <w:szCs w:val="22"/>
        </w:rPr>
        <w:t xml:space="preserve"> haya sido objeto de multas sucesivas por estos mismos hechos (y se encuentren ejecutoriadas) en tanto que se registra únicamente Resolución No. 728 del 14 de junio de 2022, </w:t>
      </w:r>
      <w:r w:rsidRPr="001D4BA1">
        <w:rPr>
          <w:rFonts w:ascii="Arial" w:eastAsia="Arial" w:hAnsi="Arial" w:cs="Arial"/>
          <w:i/>
          <w:iCs/>
          <w:sz w:val="22"/>
          <w:szCs w:val="22"/>
        </w:rPr>
        <w:t>“Por la cual se impone una sanción y se imparte una orden”</w:t>
      </w:r>
      <w:r w:rsidRPr="001D4BA1">
        <w:rPr>
          <w:rFonts w:ascii="Arial" w:eastAsia="Arial" w:hAnsi="Arial" w:cs="Arial"/>
          <w:sz w:val="22"/>
          <w:szCs w:val="22"/>
        </w:rPr>
        <w:t xml:space="preserve">. </w:t>
      </w:r>
    </w:p>
    <w:p w14:paraId="3E441FCD" w14:textId="77777777" w:rsidR="00C11A9D" w:rsidRPr="001D4BA1" w:rsidRDefault="00C11A9D">
      <w:pPr>
        <w:jc w:val="both"/>
        <w:rPr>
          <w:rFonts w:ascii="Arial" w:eastAsia="Arial" w:hAnsi="Arial" w:cs="Arial"/>
          <w:sz w:val="22"/>
          <w:szCs w:val="22"/>
        </w:rPr>
      </w:pPr>
    </w:p>
    <w:p w14:paraId="5684CCB2" w14:textId="77777777" w:rsidR="00C11A9D" w:rsidRPr="001D4BA1" w:rsidRDefault="00E252DE">
      <w:pPr>
        <w:jc w:val="both"/>
        <w:rPr>
          <w:rFonts w:ascii="Arial" w:eastAsia="Arial" w:hAnsi="Arial" w:cs="Arial"/>
          <w:b/>
          <w:bCs/>
          <w:sz w:val="22"/>
          <w:szCs w:val="22"/>
        </w:rPr>
      </w:pPr>
      <w:r w:rsidRPr="001D4BA1">
        <w:rPr>
          <w:rFonts w:ascii="Arial" w:eastAsia="Arial" w:hAnsi="Arial" w:cs="Arial"/>
          <w:b/>
          <w:bCs/>
          <w:sz w:val="22"/>
          <w:szCs w:val="22"/>
        </w:rPr>
        <w:t xml:space="preserve">Resistencia, negativa u obstrucción a la acción investigadora o de supervisión: </w:t>
      </w:r>
      <w:r w:rsidRPr="001D4BA1">
        <w:rPr>
          <w:rFonts w:ascii="Arial" w:eastAsia="Arial" w:hAnsi="Arial" w:cs="Arial"/>
          <w:sz w:val="22"/>
          <w:szCs w:val="22"/>
        </w:rPr>
        <w:t>No se observa en el desarrollo de la actuación administrativa de seguimiento que la sociedad enajenadora INVERSIONES ALCABAMA S.A incurriera en alguna conducta que implicara resistencia o que obstruyera el desarrollo de la presente investigación, por lo que este criterio no resulta aplicable para graduar la sanción a imponer.</w:t>
      </w:r>
    </w:p>
    <w:p w14:paraId="3FAD9E9B" w14:textId="77777777" w:rsidR="00C11A9D" w:rsidRPr="001D4BA1" w:rsidRDefault="00C11A9D">
      <w:pPr>
        <w:jc w:val="both"/>
        <w:rPr>
          <w:rFonts w:ascii="Arial" w:eastAsia="Arial" w:hAnsi="Arial" w:cs="Arial"/>
          <w:b/>
          <w:bCs/>
          <w:sz w:val="22"/>
          <w:szCs w:val="22"/>
        </w:rPr>
      </w:pPr>
    </w:p>
    <w:p w14:paraId="02AA8744" w14:textId="77777777" w:rsidR="00C11A9D" w:rsidRPr="001D4BA1" w:rsidRDefault="00E252DE">
      <w:pPr>
        <w:jc w:val="both"/>
        <w:rPr>
          <w:rFonts w:ascii="Arial" w:eastAsia="Arial" w:hAnsi="Arial" w:cs="Arial"/>
          <w:b/>
          <w:bCs/>
          <w:sz w:val="22"/>
          <w:szCs w:val="22"/>
        </w:rPr>
      </w:pPr>
      <w:r w:rsidRPr="001D4BA1">
        <w:rPr>
          <w:rFonts w:ascii="Arial" w:eastAsia="Arial" w:hAnsi="Arial" w:cs="Arial"/>
          <w:b/>
          <w:bCs/>
          <w:sz w:val="22"/>
          <w:szCs w:val="22"/>
        </w:rPr>
        <w:t>Utilización de medios fraudulentos o utilización de persona interpuesta para ocultar la infracción u ocultar sus efectos:</w:t>
      </w:r>
      <w:r w:rsidRPr="001D4BA1">
        <w:rPr>
          <w:rFonts w:ascii="Arial" w:eastAsia="Arial" w:hAnsi="Arial" w:cs="Arial"/>
          <w:sz w:val="22"/>
          <w:szCs w:val="22"/>
        </w:rPr>
        <w:t xml:space="preserve"> No se evidenció que la sociedad enajenadora INVERSIONES ALCABAMA S.A haya propiciado o utilizado alguna maniobra fraudulenta para ocultar la comisión y consecuencias de la infracción que se le imputó, por lo que este criterio no resulta aplicable para graduar la sanción a imponer.</w:t>
      </w:r>
    </w:p>
    <w:p w14:paraId="6313DED8" w14:textId="77777777" w:rsidR="00C11A9D" w:rsidRPr="001D4BA1" w:rsidRDefault="00C11A9D">
      <w:pPr>
        <w:jc w:val="both"/>
        <w:rPr>
          <w:rFonts w:ascii="Arial" w:eastAsia="Arial" w:hAnsi="Arial" w:cs="Arial"/>
          <w:sz w:val="22"/>
          <w:szCs w:val="22"/>
        </w:rPr>
      </w:pPr>
    </w:p>
    <w:p w14:paraId="0C58E595" w14:textId="77777777" w:rsidR="00C11A9D" w:rsidRPr="001D4BA1" w:rsidRDefault="00E252DE">
      <w:pPr>
        <w:jc w:val="both"/>
        <w:rPr>
          <w:rFonts w:ascii="Arial" w:eastAsia="Arial" w:hAnsi="Arial" w:cs="Arial"/>
          <w:sz w:val="22"/>
          <w:szCs w:val="22"/>
        </w:rPr>
      </w:pPr>
      <w:r w:rsidRPr="001D4BA1">
        <w:rPr>
          <w:rFonts w:ascii="Arial" w:eastAsia="Arial" w:hAnsi="Arial" w:cs="Arial"/>
          <w:b/>
          <w:bCs/>
          <w:sz w:val="22"/>
          <w:szCs w:val="22"/>
        </w:rPr>
        <w:t xml:space="preserve">Grado de prudencia y diligencia con que se hayan atendido los deberes o se hayan aplicado las normas legales pertinentes: </w:t>
      </w:r>
      <w:r w:rsidRPr="001D4BA1">
        <w:rPr>
          <w:rFonts w:ascii="Arial" w:eastAsia="Arial" w:hAnsi="Arial" w:cs="Arial"/>
          <w:sz w:val="22"/>
          <w:szCs w:val="22"/>
        </w:rPr>
        <w:t xml:space="preserve">Este Despacho considera que el incumplimiento reglamentario en que incurrió la sociedad enajenadora conlleva a la vulneración concreta de obligaciones, y/o prohibiciones previamente conocidas y adquiridas a partir de la voluntaria decisión de desarrollar actividades de enajenación de vivienda urbana en el Distrito Capital, situación que acarrean la observancia de tales aspectos. </w:t>
      </w:r>
    </w:p>
    <w:p w14:paraId="496C38D4" w14:textId="77777777" w:rsidR="00C11A9D" w:rsidRPr="001D4BA1" w:rsidRDefault="00C11A9D">
      <w:pPr>
        <w:jc w:val="both"/>
        <w:rPr>
          <w:rFonts w:ascii="Arial" w:eastAsia="Arial" w:hAnsi="Arial" w:cs="Arial"/>
          <w:sz w:val="22"/>
          <w:szCs w:val="22"/>
        </w:rPr>
      </w:pPr>
    </w:p>
    <w:p w14:paraId="57CD0397" w14:textId="77777777" w:rsidR="00C11A9D" w:rsidRPr="001D4BA1" w:rsidRDefault="00E252DE">
      <w:pPr>
        <w:jc w:val="both"/>
        <w:rPr>
          <w:rFonts w:ascii="Arial" w:eastAsia="Arial" w:hAnsi="Arial" w:cs="Arial"/>
          <w:sz w:val="22"/>
          <w:szCs w:val="22"/>
        </w:rPr>
      </w:pPr>
      <w:r w:rsidRPr="001D4BA1">
        <w:rPr>
          <w:rFonts w:ascii="Arial" w:eastAsia="Arial" w:hAnsi="Arial" w:cs="Arial"/>
          <w:sz w:val="22"/>
          <w:szCs w:val="22"/>
        </w:rPr>
        <w:lastRenderedPageBreak/>
        <w:t>Bajo este entendido, se hace necesario resaltar, que en la presente actuación administrativa de seguimiento se evidenció que la sociedad enajenadora INVERSIONES ALCABAMA S.A. no logró demostrar un grado de prudencia y diligencia con el que se hayan atendido los deberes, en tanto no allegó prueba que demuestre actividades encaminadas a la subsanación de los hechos establecidos en la Resolución No. 728 del 14 de junio DE 2022.</w:t>
      </w:r>
    </w:p>
    <w:p w14:paraId="6F0FAB3E" w14:textId="77777777" w:rsidR="00C11A9D" w:rsidRPr="001D4BA1" w:rsidRDefault="00C11A9D">
      <w:pPr>
        <w:jc w:val="both"/>
        <w:rPr>
          <w:rFonts w:ascii="Arial" w:eastAsia="Arial" w:hAnsi="Arial" w:cs="Arial"/>
          <w:sz w:val="22"/>
          <w:szCs w:val="22"/>
        </w:rPr>
      </w:pPr>
    </w:p>
    <w:p w14:paraId="47295F3C" w14:textId="77777777" w:rsidR="00C11A9D" w:rsidRPr="001D4BA1" w:rsidRDefault="00E252DE">
      <w:pPr>
        <w:jc w:val="both"/>
        <w:rPr>
          <w:rFonts w:ascii="Arial" w:eastAsia="Arial" w:hAnsi="Arial" w:cs="Arial"/>
          <w:sz w:val="22"/>
          <w:szCs w:val="22"/>
        </w:rPr>
      </w:pPr>
      <w:r w:rsidRPr="001D4BA1">
        <w:rPr>
          <w:rFonts w:ascii="Arial" w:eastAsia="Arial" w:hAnsi="Arial" w:cs="Arial"/>
          <w:b/>
          <w:bCs/>
          <w:sz w:val="22"/>
          <w:szCs w:val="22"/>
        </w:rPr>
        <w:t>Renuencia o desacato en el cumplimiento de las órdenes impartidas por la autoridad competente:</w:t>
      </w:r>
      <w:r w:rsidRPr="001D4BA1">
        <w:rPr>
          <w:rFonts w:ascii="Arial" w:eastAsia="Arial" w:hAnsi="Arial" w:cs="Arial"/>
          <w:sz w:val="22"/>
          <w:szCs w:val="22"/>
        </w:rPr>
        <w:t xml:space="preserve"> En el curso de la actuación administrativa de seguimiento se evidencia que la sociedad enajenadora INVERSIONES ALCABAMA S.A ha incumplido la orden de hacer impuesta en la Resolución No. 728 del 14 de junio de 2022 impartida por este Despacho, razón por la cual, la acá sancionado se encuentra inmersa en esta conducta.</w:t>
      </w:r>
    </w:p>
    <w:p w14:paraId="1937686D" w14:textId="77777777" w:rsidR="00C11A9D" w:rsidRPr="001D4BA1" w:rsidRDefault="00C11A9D">
      <w:pPr>
        <w:jc w:val="both"/>
        <w:rPr>
          <w:rFonts w:ascii="Arial" w:eastAsia="Arial" w:hAnsi="Arial" w:cs="Arial"/>
          <w:sz w:val="22"/>
          <w:szCs w:val="22"/>
        </w:rPr>
      </w:pPr>
    </w:p>
    <w:p w14:paraId="7DADD916" w14:textId="77777777" w:rsidR="00C11A9D" w:rsidRPr="001D4BA1" w:rsidRDefault="00E252DE">
      <w:pPr>
        <w:jc w:val="both"/>
        <w:rPr>
          <w:rFonts w:ascii="Arial" w:eastAsia="Arial" w:hAnsi="Arial" w:cs="Arial"/>
          <w:sz w:val="22"/>
          <w:szCs w:val="22"/>
        </w:rPr>
      </w:pPr>
      <w:r w:rsidRPr="001D4BA1">
        <w:rPr>
          <w:rFonts w:ascii="Arial" w:eastAsia="Arial" w:hAnsi="Arial" w:cs="Arial"/>
          <w:b/>
          <w:bCs/>
          <w:sz w:val="22"/>
          <w:szCs w:val="22"/>
        </w:rPr>
        <w:t>Reconocimiento o aceptación expresa de la infracción antes del decreto de pruebas</w:t>
      </w:r>
      <w:r w:rsidRPr="001D4BA1">
        <w:rPr>
          <w:rFonts w:ascii="Arial" w:eastAsia="Arial" w:hAnsi="Arial" w:cs="Arial"/>
          <w:sz w:val="22"/>
          <w:szCs w:val="22"/>
        </w:rPr>
        <w:t>: En el curso de la presente actuación administrativa de seguimiento la citada conducta ya fue valorada en la etapa procesal correspondiente a la investigación que culminó con la orden de hacer contenida en la Resolución No. 728 del 14 de junio de 2022 razón por la cual, este criterio no resulta aplicable en la presente instancia.</w:t>
      </w:r>
    </w:p>
    <w:p w14:paraId="116E29BD" w14:textId="77777777" w:rsidR="00C11A9D" w:rsidRPr="001D4BA1" w:rsidRDefault="00C11A9D">
      <w:pPr>
        <w:jc w:val="both"/>
        <w:rPr>
          <w:rFonts w:ascii="Arial" w:eastAsia="Arial" w:hAnsi="Arial" w:cs="Arial"/>
          <w:sz w:val="22"/>
          <w:szCs w:val="22"/>
          <w:highlight w:val="white"/>
        </w:rPr>
      </w:pPr>
    </w:p>
    <w:p w14:paraId="4A43FE2B" w14:textId="77777777" w:rsidR="00C11A9D" w:rsidRPr="001D4BA1" w:rsidRDefault="00E252DE">
      <w:pPr>
        <w:jc w:val="both"/>
        <w:rPr>
          <w:rFonts w:ascii="Arial" w:eastAsia="Arial" w:hAnsi="Arial" w:cs="Arial"/>
          <w:b/>
          <w:bCs/>
          <w:sz w:val="22"/>
          <w:szCs w:val="22"/>
          <w:highlight w:val="white"/>
        </w:rPr>
      </w:pPr>
      <w:r w:rsidRPr="001D4BA1">
        <w:rPr>
          <w:rFonts w:ascii="Arial" w:eastAsia="Arial" w:hAnsi="Arial" w:cs="Arial"/>
          <w:b/>
          <w:bCs/>
          <w:sz w:val="22"/>
          <w:szCs w:val="22"/>
          <w:highlight w:val="white"/>
        </w:rPr>
        <w:t>7. Indexación de la multa a imponer</w:t>
      </w:r>
    </w:p>
    <w:p w14:paraId="2D7A8E8A" w14:textId="77777777" w:rsidR="00C11A9D" w:rsidRPr="001D4BA1" w:rsidRDefault="00C11A9D">
      <w:pPr>
        <w:tabs>
          <w:tab w:val="left" w:pos="5982"/>
        </w:tabs>
        <w:jc w:val="both"/>
        <w:rPr>
          <w:rFonts w:ascii="Arial" w:eastAsia="Arial" w:hAnsi="Arial" w:cs="Arial"/>
          <w:sz w:val="22"/>
          <w:szCs w:val="22"/>
          <w:highlight w:val="white"/>
        </w:rPr>
      </w:pPr>
    </w:p>
    <w:p w14:paraId="51BB1295" w14:textId="77777777" w:rsidR="00C11A9D" w:rsidRPr="001D4BA1" w:rsidRDefault="00E252DE">
      <w:pPr>
        <w:jc w:val="both"/>
        <w:rPr>
          <w:rFonts w:ascii="Arial" w:eastAsia="Arial" w:hAnsi="Arial" w:cs="Arial"/>
          <w:sz w:val="22"/>
          <w:szCs w:val="22"/>
          <w:highlight w:val="white"/>
        </w:rPr>
      </w:pPr>
      <w:r w:rsidRPr="001D4BA1">
        <w:rPr>
          <w:rFonts w:ascii="Arial" w:eastAsia="Arial" w:hAnsi="Arial" w:cs="Arial"/>
          <w:sz w:val="22"/>
          <w:szCs w:val="22"/>
          <w:highlight w:val="white"/>
        </w:rPr>
        <w:t xml:space="preserve">El inciso segundo, numeral 9º del artículo 2º del Decreto Ley 078 de 1987, faculta a este Despacho para imponer multas sucesivas entre DIEZ MIL ($10.000) y QUINIENTOS MIL ($500.000) pesos moneda legal, a las personas naturales o jurídicas sujetas al control y vigilancia de esta Subsecretaría, cuando se cerciore que se ha vulnerado una norma o reglamento a que debe estar sometido con relación a la actividad de enajenación de inmuebles destinados a vivienda, que serán indexados en el tiempo en que se verifique el incumplimiento, por cada seis (6) meses (calendario) de retardo al vencimiento de la fecha establecida para el efecto, de conformidad con lo dispuesto en el inciso segundo numeral 9º del artículo 2º del Decreto Ley 078 de 1987. </w:t>
      </w:r>
    </w:p>
    <w:p w14:paraId="10C4BECA" w14:textId="77777777" w:rsidR="00C11A9D" w:rsidRPr="001D4BA1" w:rsidRDefault="00C11A9D">
      <w:pPr>
        <w:jc w:val="both"/>
        <w:rPr>
          <w:rFonts w:ascii="Arial" w:eastAsia="Arial" w:hAnsi="Arial" w:cs="Arial"/>
          <w:sz w:val="22"/>
          <w:szCs w:val="22"/>
          <w:highlight w:val="white"/>
        </w:rPr>
      </w:pPr>
    </w:p>
    <w:p w14:paraId="66D80AFF" w14:textId="77777777" w:rsidR="00C11A9D" w:rsidRPr="001D4BA1" w:rsidRDefault="00E252DE">
      <w:pPr>
        <w:jc w:val="both"/>
        <w:rPr>
          <w:rFonts w:ascii="Arial" w:eastAsia="Arial" w:hAnsi="Arial" w:cs="Arial"/>
          <w:sz w:val="22"/>
          <w:szCs w:val="22"/>
          <w:highlight w:val="white"/>
        </w:rPr>
      </w:pPr>
      <w:r w:rsidRPr="001D4BA1">
        <w:rPr>
          <w:rFonts w:ascii="Arial" w:eastAsia="Arial" w:hAnsi="Arial" w:cs="Arial"/>
          <w:sz w:val="22"/>
          <w:szCs w:val="22"/>
          <w:highlight w:val="white"/>
        </w:rPr>
        <w:t>Las multas antes descritas se actualizarán, toda vez que la inaplicación de la indexación dejaría sin fuerza y efectividad las multas a través de las cuales el legislador buscó conminar a las personas dedicadas a la enajenación de inmuebles destinados a vivienda a cumplir con sus obligaciones, y a persuadirlos de la comisión de conductas infractoras al régimen aplicable.</w:t>
      </w:r>
    </w:p>
    <w:p w14:paraId="092ABAA6" w14:textId="77777777" w:rsidR="00C11A9D" w:rsidRPr="001D4BA1" w:rsidRDefault="00C11A9D">
      <w:pPr>
        <w:jc w:val="both"/>
        <w:rPr>
          <w:rFonts w:ascii="Arial" w:eastAsia="Arial" w:hAnsi="Arial" w:cs="Arial"/>
          <w:sz w:val="22"/>
          <w:szCs w:val="22"/>
          <w:highlight w:val="white"/>
        </w:rPr>
      </w:pPr>
    </w:p>
    <w:p w14:paraId="474715E5" w14:textId="77777777" w:rsidR="00C11A9D" w:rsidRPr="001D4BA1" w:rsidRDefault="00E252DE">
      <w:pPr>
        <w:jc w:val="both"/>
        <w:rPr>
          <w:rFonts w:ascii="Arial" w:eastAsia="Arial" w:hAnsi="Arial" w:cs="Arial"/>
          <w:sz w:val="22"/>
          <w:szCs w:val="22"/>
        </w:rPr>
      </w:pPr>
      <w:r w:rsidRPr="001D4BA1">
        <w:rPr>
          <w:rFonts w:ascii="Arial" w:eastAsia="Arial" w:hAnsi="Arial" w:cs="Arial"/>
          <w:sz w:val="22"/>
          <w:szCs w:val="22"/>
          <w:highlight w:val="white"/>
        </w:rPr>
        <w:t xml:space="preserve">Adicionalmente, en este caso concreto la multa se indexa teniendo en cuenta los incrementos del índice de precios al consumidor certificados por el DANE, desde el 26 de octubre de 1979, momento en que se fijaron los valores de las multas por el Decreto Ley 2610 de 1979, hasta la fecha en que se impone la sanción sin que ello signifique el pago de un mayor valor al establecido en la ley, sino que se aplica el mismo valor, pero pasado a términos presentes, postura que además ha sido avalada y reiterada en diferentes pronunciamientos jurisprudenciales, los cuales fueron recogidos en el Concepto No. 1564 del 18 de mayo de 2004, emitido por la Sala de Consulta y Servicio Civil del Consejo de </w:t>
      </w:r>
      <w:r w:rsidRPr="001D4BA1">
        <w:rPr>
          <w:rFonts w:ascii="Arial" w:eastAsia="Arial" w:hAnsi="Arial" w:cs="Arial"/>
          <w:sz w:val="22"/>
          <w:szCs w:val="22"/>
          <w:highlight w:val="white"/>
        </w:rPr>
        <w:lastRenderedPageBreak/>
        <w:t xml:space="preserve">Estado, y acogidos por esta entidad mediante la Directiva No. 001 del 12 de enero de 2010 expedida por la </w:t>
      </w:r>
      <w:r w:rsidRPr="001D4BA1">
        <w:rPr>
          <w:rFonts w:ascii="Arial" w:eastAsia="Arial" w:hAnsi="Arial" w:cs="Arial"/>
          <w:sz w:val="22"/>
          <w:szCs w:val="22"/>
        </w:rPr>
        <w:t>Secretaría Distrital del Hábitat</w:t>
      </w:r>
      <w:r w:rsidRPr="001D4BA1">
        <w:rPr>
          <w:rFonts w:ascii="Arial" w:eastAsia="Arial" w:hAnsi="Arial" w:cs="Arial"/>
          <w:sz w:val="22"/>
          <w:szCs w:val="22"/>
          <w:vertAlign w:val="superscript"/>
        </w:rPr>
        <w:footnoteReference w:id="1"/>
      </w:r>
      <w:r w:rsidRPr="001D4BA1">
        <w:rPr>
          <w:rFonts w:ascii="Arial" w:eastAsia="Arial" w:hAnsi="Arial" w:cs="Arial"/>
          <w:sz w:val="22"/>
          <w:szCs w:val="22"/>
        </w:rPr>
        <w:t xml:space="preserve">. </w:t>
      </w:r>
    </w:p>
    <w:p w14:paraId="0D1FD6C0" w14:textId="77777777" w:rsidR="00C11A9D" w:rsidRPr="001D4BA1" w:rsidRDefault="00C11A9D">
      <w:pPr>
        <w:jc w:val="both"/>
        <w:rPr>
          <w:rFonts w:ascii="Arial" w:eastAsia="Arial" w:hAnsi="Arial" w:cs="Arial"/>
          <w:sz w:val="22"/>
          <w:szCs w:val="22"/>
        </w:rPr>
      </w:pPr>
    </w:p>
    <w:p w14:paraId="197E2E16" w14:textId="77777777" w:rsidR="00C11A9D" w:rsidRPr="001D4BA1" w:rsidRDefault="00E252DE">
      <w:pPr>
        <w:tabs>
          <w:tab w:val="left" w:pos="4253"/>
          <w:tab w:val="right" w:pos="8504"/>
        </w:tabs>
        <w:jc w:val="both"/>
        <w:rPr>
          <w:rFonts w:ascii="Arial" w:eastAsia="Arial" w:hAnsi="Arial" w:cs="Arial"/>
          <w:sz w:val="22"/>
          <w:szCs w:val="22"/>
        </w:rPr>
      </w:pPr>
      <w:r w:rsidRPr="001D4BA1">
        <w:rPr>
          <w:rFonts w:ascii="Arial" w:eastAsia="Arial" w:hAnsi="Arial" w:cs="Arial"/>
          <w:sz w:val="22"/>
          <w:szCs w:val="22"/>
        </w:rPr>
        <w:t>Para la actualización de la sanción se da aplicación a la siguiente fórmula:</w:t>
      </w:r>
    </w:p>
    <w:p w14:paraId="18BACD86" w14:textId="77777777" w:rsidR="00C11A9D" w:rsidRPr="001D4BA1" w:rsidRDefault="00C11A9D">
      <w:pPr>
        <w:tabs>
          <w:tab w:val="left" w:pos="4253"/>
          <w:tab w:val="right" w:pos="8504"/>
        </w:tabs>
        <w:jc w:val="both"/>
        <w:rPr>
          <w:rFonts w:ascii="Arial" w:eastAsia="Arial" w:hAnsi="Arial" w:cs="Arial"/>
          <w:sz w:val="22"/>
          <w:szCs w:val="22"/>
        </w:rPr>
      </w:pPr>
    </w:p>
    <w:p w14:paraId="516B44C0" w14:textId="5C399A59" w:rsidR="00C11A9D" w:rsidRPr="00D84C9D" w:rsidRDefault="00E252DE">
      <w:pPr>
        <w:jc w:val="center"/>
        <w:rPr>
          <w:rFonts w:ascii="Arial" w:eastAsia="Arial" w:hAnsi="Arial" w:cs="Arial"/>
          <w:sz w:val="22"/>
          <w:szCs w:val="22"/>
          <w:lang w:val="en-US"/>
        </w:rPr>
      </w:pPr>
      <w:r w:rsidRPr="00D84C9D">
        <w:rPr>
          <w:rFonts w:ascii="Arial" w:eastAsia="Arial" w:hAnsi="Arial" w:cs="Arial"/>
          <w:b/>
          <w:bCs/>
          <w:sz w:val="22"/>
          <w:szCs w:val="22"/>
        </w:rPr>
        <w:t xml:space="preserve">        </w:t>
      </w:r>
      <w:r w:rsidRPr="00D84C9D">
        <w:rPr>
          <w:rFonts w:ascii="Arial" w:eastAsia="Arial" w:hAnsi="Arial" w:cs="Arial"/>
          <w:b/>
          <w:bCs/>
          <w:sz w:val="22"/>
          <w:szCs w:val="22"/>
          <w:lang w:val="en-US"/>
        </w:rPr>
        <w:t>(</w:t>
      </w:r>
      <w:r w:rsidRPr="00D84C9D">
        <w:rPr>
          <w:rFonts w:ascii="Arial" w:eastAsia="Arial" w:hAnsi="Arial" w:cs="Arial"/>
          <w:sz w:val="22"/>
          <w:szCs w:val="22"/>
          <w:lang w:val="en-US"/>
        </w:rPr>
        <w:t>IPC-F) 15</w:t>
      </w:r>
      <w:r w:rsidR="0047147D" w:rsidRPr="00D84C9D">
        <w:rPr>
          <w:rFonts w:ascii="Arial" w:eastAsia="Arial" w:hAnsi="Arial" w:cs="Arial"/>
          <w:sz w:val="22"/>
          <w:szCs w:val="22"/>
          <w:lang w:val="en-US"/>
        </w:rPr>
        <w:t>4,07</w:t>
      </w:r>
    </w:p>
    <w:p w14:paraId="1B3966FF" w14:textId="1E64C74E" w:rsidR="00C11A9D" w:rsidRPr="00D84C9D" w:rsidRDefault="00E252DE">
      <w:pPr>
        <w:jc w:val="center"/>
        <w:rPr>
          <w:rFonts w:ascii="Arial" w:eastAsia="Arial" w:hAnsi="Arial" w:cs="Arial"/>
          <w:sz w:val="22"/>
          <w:szCs w:val="22"/>
          <w:lang w:val="en-US"/>
        </w:rPr>
      </w:pPr>
      <w:r w:rsidRPr="00D84C9D">
        <w:rPr>
          <w:rFonts w:ascii="Arial" w:eastAsia="Arial" w:hAnsi="Arial" w:cs="Arial"/>
          <w:sz w:val="22"/>
          <w:szCs w:val="22"/>
          <w:lang w:val="en-US"/>
        </w:rPr>
        <w:t>VP= (VH) $</w:t>
      </w:r>
      <w:r w:rsidR="001D4BA1" w:rsidRPr="00D84C9D">
        <w:rPr>
          <w:rFonts w:ascii="Arial" w:eastAsia="Arial" w:hAnsi="Arial" w:cs="Arial"/>
          <w:sz w:val="22"/>
          <w:szCs w:val="22"/>
          <w:lang w:val="en-US"/>
        </w:rPr>
        <w:t>500.000 --</w:t>
      </w:r>
      <w:r w:rsidRPr="00D84C9D">
        <w:rPr>
          <w:rFonts w:ascii="Arial" w:eastAsia="Arial" w:hAnsi="Arial" w:cs="Arial"/>
          <w:sz w:val="22"/>
          <w:szCs w:val="22"/>
          <w:lang w:val="en-US"/>
        </w:rPr>
        <w:t>---------------------- = $</w:t>
      </w:r>
      <w:r w:rsidRPr="00D84C9D">
        <w:rPr>
          <w:rFonts w:ascii="Arial" w:hAnsi="Arial" w:cs="Arial"/>
          <w:sz w:val="22"/>
          <w:szCs w:val="22"/>
          <w:lang w:val="en-US"/>
        </w:rPr>
        <w:t>11</w:t>
      </w:r>
      <w:r w:rsidR="0047147D" w:rsidRPr="00D84C9D">
        <w:rPr>
          <w:rFonts w:ascii="Arial" w:hAnsi="Arial" w:cs="Arial"/>
          <w:sz w:val="22"/>
          <w:szCs w:val="22"/>
          <w:lang w:val="en-US"/>
        </w:rPr>
        <w:t>1.6</w:t>
      </w:r>
      <w:r w:rsidR="00D84C9D" w:rsidRPr="00D84C9D">
        <w:rPr>
          <w:rFonts w:ascii="Arial" w:hAnsi="Arial" w:cs="Arial"/>
          <w:sz w:val="22"/>
          <w:szCs w:val="22"/>
          <w:lang w:val="en-US"/>
        </w:rPr>
        <w:t>4</w:t>
      </w:r>
      <w:r w:rsidR="0047147D" w:rsidRPr="00D84C9D">
        <w:rPr>
          <w:rFonts w:ascii="Arial" w:hAnsi="Arial" w:cs="Arial"/>
          <w:sz w:val="22"/>
          <w:szCs w:val="22"/>
          <w:lang w:val="en-US"/>
        </w:rPr>
        <w:t>4.928</w:t>
      </w:r>
    </w:p>
    <w:p w14:paraId="04311809" w14:textId="77777777" w:rsidR="00C11A9D" w:rsidRPr="00D84C9D" w:rsidRDefault="00E252DE">
      <w:pPr>
        <w:jc w:val="center"/>
        <w:rPr>
          <w:rFonts w:ascii="Arial" w:eastAsia="Arial" w:hAnsi="Arial" w:cs="Arial"/>
          <w:sz w:val="22"/>
          <w:szCs w:val="22"/>
          <w:lang w:val="en-US"/>
        </w:rPr>
      </w:pPr>
      <w:r w:rsidRPr="00D84C9D">
        <w:rPr>
          <w:rFonts w:ascii="Arial" w:eastAsia="Arial" w:hAnsi="Arial" w:cs="Arial"/>
          <w:sz w:val="22"/>
          <w:szCs w:val="22"/>
          <w:lang w:val="en-US"/>
        </w:rPr>
        <w:t xml:space="preserve">       (IPC-I) 0,69</w:t>
      </w:r>
    </w:p>
    <w:p w14:paraId="6A73CB1D" w14:textId="77777777" w:rsidR="00C11A9D" w:rsidRPr="001D4BA1" w:rsidRDefault="00C11A9D">
      <w:pPr>
        <w:widowControl w:val="0"/>
        <w:tabs>
          <w:tab w:val="left" w:pos="4253"/>
        </w:tabs>
        <w:jc w:val="both"/>
        <w:rPr>
          <w:rFonts w:ascii="Arial" w:eastAsia="Arial" w:hAnsi="Arial" w:cs="Arial"/>
          <w:sz w:val="22"/>
          <w:szCs w:val="22"/>
          <w:lang w:val="en-US"/>
        </w:rPr>
      </w:pPr>
    </w:p>
    <w:p w14:paraId="7743FA10" w14:textId="77777777" w:rsidR="00C11A9D" w:rsidRPr="001D4BA1" w:rsidRDefault="00E252DE">
      <w:pPr>
        <w:widowControl w:val="0"/>
        <w:tabs>
          <w:tab w:val="left" w:pos="4253"/>
        </w:tabs>
        <w:jc w:val="both"/>
        <w:rPr>
          <w:rFonts w:ascii="Arial" w:eastAsia="Arial" w:hAnsi="Arial" w:cs="Arial"/>
          <w:sz w:val="22"/>
          <w:szCs w:val="22"/>
        </w:rPr>
      </w:pPr>
      <w:r w:rsidRPr="001D4BA1">
        <w:rPr>
          <w:rFonts w:ascii="Arial" w:eastAsia="Arial" w:hAnsi="Arial" w:cs="Arial"/>
          <w:sz w:val="22"/>
          <w:szCs w:val="22"/>
        </w:rPr>
        <w:t>Siendo (VP) el valor presente de la sanción, y (VH) al valor de la multa establecida en el Decreto Ley 2610 de 1979. Los índices son los acumulados de los Índices de Precios al Consumidor, siendo entonces el IPC (índice inicial) el correspondiente al mes de octubre de 1979 (fecha de entrada en vigencia el Decreto 2610 de 1979, que es igual a “1”) y el IPC (índice final) que corresponde al último acumulado, certificado mensualmente por el DANE, para aplicar en el momento en que se expide el acto administrativo sancionatorio, el cual se puede corroborar en su página web: http://www.dane.gov.co/.</w:t>
      </w:r>
    </w:p>
    <w:p w14:paraId="05DD328D" w14:textId="77777777" w:rsidR="00C11A9D" w:rsidRPr="001D4BA1" w:rsidRDefault="00C11A9D">
      <w:pPr>
        <w:tabs>
          <w:tab w:val="left" w:pos="4253"/>
          <w:tab w:val="right" w:pos="8504"/>
        </w:tabs>
        <w:jc w:val="both"/>
        <w:rPr>
          <w:rFonts w:ascii="Arial" w:eastAsia="Arial" w:hAnsi="Arial" w:cs="Arial"/>
          <w:sz w:val="22"/>
          <w:szCs w:val="22"/>
        </w:rPr>
      </w:pPr>
    </w:p>
    <w:p w14:paraId="47183261" w14:textId="4F190635" w:rsidR="0047147D" w:rsidRPr="00D946BC" w:rsidRDefault="0047147D" w:rsidP="0047147D">
      <w:pPr>
        <w:jc w:val="both"/>
        <w:rPr>
          <w:rFonts w:ascii="Arial" w:hAnsi="Arial" w:cs="Arial"/>
          <w:sz w:val="22"/>
          <w:szCs w:val="22"/>
          <w:lang w:val="es-CO" w:eastAsia="es-ES"/>
        </w:rPr>
      </w:pPr>
      <w:r w:rsidRPr="00D946BC">
        <w:rPr>
          <w:rFonts w:ascii="Arial" w:hAnsi="Arial" w:cs="Arial"/>
          <w:sz w:val="22"/>
          <w:szCs w:val="22"/>
        </w:rPr>
        <w:t xml:space="preserve">Por lo tanto, de acuerdo con la formula enunciada anteriormente, el valor correspondiente a los DIEZ MIL PESOS ($10.000) M/CTE, que indexados a la fecha corresponden a </w:t>
      </w:r>
      <w:r w:rsidRPr="00D946BC">
        <w:rPr>
          <w:rFonts w:ascii="Arial" w:hAnsi="Arial" w:cs="Arial"/>
          <w:sz w:val="22"/>
          <w:szCs w:val="22"/>
          <w:lang w:val="es-CO" w:eastAsia="es-ES"/>
        </w:rPr>
        <w:t>DOS MILLONES DOSCIENTOS TREINTA Y DOS MIL OCHOCIENTOS NOVENTA Y NUEVE PESOS</w:t>
      </w:r>
      <w:r w:rsidRPr="00D946BC">
        <w:rPr>
          <w:rFonts w:ascii="Arial" w:hAnsi="Arial" w:cs="Arial"/>
          <w:sz w:val="22"/>
          <w:szCs w:val="22"/>
          <w:lang w:val="es-CO"/>
        </w:rPr>
        <w:t xml:space="preserve"> </w:t>
      </w:r>
      <w:r w:rsidRPr="00D946BC">
        <w:rPr>
          <w:rFonts w:ascii="Arial" w:hAnsi="Arial" w:cs="Arial"/>
          <w:sz w:val="22"/>
          <w:szCs w:val="22"/>
        </w:rPr>
        <w:t xml:space="preserve">($2.232.899) M/CTE, y los QUINIENTOS MIL PESOS ($500.000) M/CTE, que corresponden a </w:t>
      </w:r>
      <w:r w:rsidRPr="00D946BC">
        <w:rPr>
          <w:rFonts w:ascii="Arial" w:hAnsi="Arial" w:cs="Arial"/>
          <w:sz w:val="22"/>
          <w:szCs w:val="22"/>
          <w:lang w:val="es-CO" w:eastAsia="es-ES"/>
        </w:rPr>
        <w:t xml:space="preserve">CIENTO ONCE MILLONES SEISCIENTOS </w:t>
      </w:r>
      <w:r w:rsidR="00D84C9D">
        <w:rPr>
          <w:rFonts w:ascii="Arial" w:hAnsi="Arial" w:cs="Arial"/>
          <w:sz w:val="22"/>
          <w:szCs w:val="22"/>
          <w:lang w:val="es-CO" w:eastAsia="es-ES"/>
        </w:rPr>
        <w:t xml:space="preserve">CUARENTA </w:t>
      </w:r>
      <w:r w:rsidRPr="00D946BC">
        <w:rPr>
          <w:rFonts w:ascii="Arial" w:hAnsi="Arial" w:cs="Arial"/>
          <w:sz w:val="22"/>
          <w:szCs w:val="22"/>
          <w:lang w:val="es-CO" w:eastAsia="es-ES"/>
        </w:rPr>
        <w:t>Y CUATRO MIL NOVECIENTOS VEINTIOCHO PESOS</w:t>
      </w:r>
      <w:r w:rsidRPr="00D946BC">
        <w:rPr>
          <w:rFonts w:ascii="Arial" w:hAnsi="Arial" w:cs="Arial"/>
          <w:sz w:val="22"/>
          <w:szCs w:val="22"/>
          <w:lang w:val="es-CO"/>
        </w:rPr>
        <w:t xml:space="preserve"> </w:t>
      </w:r>
      <w:r w:rsidRPr="00D946BC">
        <w:rPr>
          <w:rFonts w:ascii="Arial" w:hAnsi="Arial" w:cs="Arial"/>
          <w:sz w:val="22"/>
          <w:szCs w:val="22"/>
        </w:rPr>
        <w:t>($</w:t>
      </w:r>
      <w:r w:rsidRPr="00D84C9D">
        <w:rPr>
          <w:rFonts w:ascii="Arial" w:hAnsi="Arial" w:cs="Arial"/>
          <w:sz w:val="22"/>
          <w:szCs w:val="22"/>
          <w:lang w:val="es-CO"/>
        </w:rPr>
        <w:t>111.6</w:t>
      </w:r>
      <w:r w:rsidR="00D84C9D">
        <w:rPr>
          <w:rFonts w:ascii="Arial" w:hAnsi="Arial" w:cs="Arial"/>
          <w:sz w:val="22"/>
          <w:szCs w:val="22"/>
          <w:lang w:val="es-CO"/>
        </w:rPr>
        <w:t>4</w:t>
      </w:r>
      <w:r w:rsidRPr="00D84C9D">
        <w:rPr>
          <w:rFonts w:ascii="Arial" w:hAnsi="Arial" w:cs="Arial"/>
          <w:sz w:val="22"/>
          <w:szCs w:val="22"/>
          <w:lang w:val="es-CO"/>
        </w:rPr>
        <w:t>4.928</w:t>
      </w:r>
      <w:r w:rsidRPr="00D946BC">
        <w:rPr>
          <w:rFonts w:ascii="Arial" w:hAnsi="Arial" w:cs="Arial"/>
          <w:sz w:val="22"/>
          <w:szCs w:val="22"/>
        </w:rPr>
        <w:t>) M/CTE, lo anterior nos ilustra respecto de los límites de la sanción, más no respecto de la multa a imponer.</w:t>
      </w:r>
    </w:p>
    <w:p w14:paraId="2FC849FF" w14:textId="77777777" w:rsidR="00C11A9D" w:rsidRPr="001D4BA1" w:rsidRDefault="00C11A9D">
      <w:pPr>
        <w:pBdr>
          <w:top w:val="nil"/>
          <w:left w:val="nil"/>
          <w:bottom w:val="nil"/>
          <w:right w:val="nil"/>
          <w:between w:val="nil"/>
        </w:pBdr>
        <w:tabs>
          <w:tab w:val="left" w:pos="4253"/>
          <w:tab w:val="center" w:pos="4419"/>
          <w:tab w:val="right" w:pos="8838"/>
        </w:tabs>
        <w:jc w:val="both"/>
        <w:rPr>
          <w:rFonts w:ascii="Arial" w:eastAsia="Arial" w:hAnsi="Arial" w:cs="Arial"/>
        </w:rPr>
      </w:pPr>
    </w:p>
    <w:p w14:paraId="31CB94E1" w14:textId="735AD64F" w:rsidR="00C11A9D" w:rsidRPr="001D4BA1" w:rsidRDefault="00E252DE">
      <w:pPr>
        <w:tabs>
          <w:tab w:val="left" w:pos="3716"/>
        </w:tabs>
        <w:jc w:val="both"/>
        <w:rPr>
          <w:rFonts w:ascii="Arial" w:eastAsia="Arial" w:hAnsi="Arial" w:cs="Arial"/>
          <w:sz w:val="22"/>
          <w:szCs w:val="22"/>
        </w:rPr>
      </w:pPr>
      <w:r w:rsidRPr="001D4BA1">
        <w:rPr>
          <w:rFonts w:ascii="Arial" w:eastAsia="Arial" w:hAnsi="Arial" w:cs="Arial"/>
          <w:sz w:val="22"/>
          <w:szCs w:val="22"/>
          <w:highlight w:val="white"/>
        </w:rPr>
        <w:t xml:space="preserve">Por lo anterior, </w:t>
      </w:r>
      <w:r w:rsidRPr="001D4BA1">
        <w:rPr>
          <w:rFonts w:ascii="Arial" w:eastAsia="Arial" w:hAnsi="Arial" w:cs="Arial"/>
          <w:sz w:val="22"/>
          <w:szCs w:val="22"/>
        </w:rPr>
        <w:t>teniendo en cuenta que en el derecho administrativo el bien jurídico protegido es el “</w:t>
      </w:r>
      <w:r w:rsidRPr="001D4BA1">
        <w:rPr>
          <w:rFonts w:ascii="Arial" w:eastAsia="Arial" w:hAnsi="Arial" w:cs="Arial"/>
          <w:i/>
          <w:iCs/>
          <w:sz w:val="22"/>
          <w:szCs w:val="22"/>
        </w:rPr>
        <w:t>cumplimiento de la legalidad</w:t>
      </w:r>
      <w:r w:rsidRPr="001D4BA1">
        <w:rPr>
          <w:rFonts w:ascii="Arial" w:eastAsia="Arial" w:hAnsi="Arial" w:cs="Arial"/>
          <w:sz w:val="22"/>
          <w:szCs w:val="22"/>
        </w:rPr>
        <w:t>”, la infracción a una disposición normativa (de carácter legal, reglamentario, regulatorio e incluso contractual) representa en sí misma la antijuridicidad de la conducta y, en consecuencia, el “</w:t>
      </w:r>
      <w:r w:rsidRPr="001D4BA1">
        <w:rPr>
          <w:rFonts w:ascii="Arial" w:eastAsia="Arial" w:hAnsi="Arial" w:cs="Arial"/>
          <w:i/>
          <w:iCs/>
          <w:sz w:val="22"/>
          <w:szCs w:val="22"/>
        </w:rPr>
        <w:t>reproche recae sobre la mera conducta</w:t>
      </w:r>
      <w:r w:rsidRPr="001D4BA1">
        <w:rPr>
          <w:rFonts w:ascii="Arial" w:eastAsia="Arial" w:hAnsi="Arial" w:cs="Arial"/>
          <w:sz w:val="22"/>
          <w:szCs w:val="22"/>
        </w:rPr>
        <w:t>”, o en otras palabras, sobre el incumplimiento de la norma</w:t>
      </w:r>
      <w:r w:rsidRPr="001D4BA1">
        <w:rPr>
          <w:rFonts w:ascii="Arial" w:eastAsia="Arial" w:hAnsi="Arial" w:cs="Arial"/>
          <w:sz w:val="22"/>
          <w:szCs w:val="22"/>
          <w:vertAlign w:val="superscript"/>
        </w:rPr>
        <w:footnoteReference w:id="2"/>
      </w:r>
      <w:r w:rsidRPr="001D4BA1">
        <w:rPr>
          <w:rFonts w:ascii="Arial" w:eastAsia="Arial" w:hAnsi="Arial" w:cs="Arial"/>
          <w:sz w:val="22"/>
          <w:szCs w:val="22"/>
        </w:rPr>
        <w:t xml:space="preserve">; elemento que se encuentra plenamente demostrado frente a los cargos sancionados en la presente investigación administrativa de seguimiento, al no haberse acogido al cumplimiento de las órdenes de hacer </w:t>
      </w:r>
      <w:r w:rsidRPr="001D4BA1">
        <w:rPr>
          <w:rFonts w:ascii="Arial" w:eastAsia="Arial" w:hAnsi="Arial" w:cs="Arial"/>
          <w:sz w:val="22"/>
          <w:szCs w:val="22"/>
          <w:highlight w:val="white"/>
        </w:rPr>
        <w:t xml:space="preserve">y ante la ausencia de prueba en el expediente que confirme que las deficiencias constructivas hayan sido subsanadas de forma definitiva por parte de la responsable, </w:t>
      </w:r>
      <w:r w:rsidRPr="00D84C9D">
        <w:rPr>
          <w:rFonts w:ascii="Arial" w:eastAsia="Arial" w:hAnsi="Arial" w:cs="Arial"/>
          <w:sz w:val="22"/>
          <w:szCs w:val="22"/>
          <w:highlight w:val="white"/>
        </w:rPr>
        <w:t xml:space="preserve">atendiendo los criterios de razonabilidad previstos en el artículo 50 de la Ley 1437 de 2011, esta Dirección impondrá sanción </w:t>
      </w:r>
      <w:r w:rsidRPr="00D84C9D">
        <w:rPr>
          <w:rFonts w:ascii="Arial" w:eastAsia="Arial" w:hAnsi="Arial" w:cs="Arial"/>
          <w:sz w:val="22"/>
          <w:szCs w:val="22"/>
        </w:rPr>
        <w:t xml:space="preserve">por valor de </w:t>
      </w:r>
      <w:r w:rsidR="00D34837">
        <w:rPr>
          <w:rFonts w:ascii="Arial" w:eastAsia="Arial" w:hAnsi="Arial" w:cs="Arial"/>
          <w:sz w:val="22"/>
          <w:szCs w:val="22"/>
        </w:rPr>
        <w:t xml:space="preserve">VEINTIÚN MIL </w:t>
      </w:r>
      <w:r w:rsidR="00D34837">
        <w:rPr>
          <w:rFonts w:ascii="Arial" w:eastAsia="Arial" w:hAnsi="Arial" w:cs="Arial"/>
          <w:sz w:val="22"/>
          <w:szCs w:val="22"/>
        </w:rPr>
        <w:lastRenderedPageBreak/>
        <w:t xml:space="preserve">NOVECIENTOS </w:t>
      </w:r>
      <w:r w:rsidR="00AF033C" w:rsidRPr="00D84C9D">
        <w:rPr>
          <w:rFonts w:ascii="Arial" w:eastAsia="Arial" w:hAnsi="Arial" w:cs="Arial"/>
          <w:sz w:val="22"/>
          <w:szCs w:val="22"/>
        </w:rPr>
        <w:t>PESOS</w:t>
      </w:r>
      <w:r w:rsidRPr="00D84C9D">
        <w:rPr>
          <w:rFonts w:ascii="Arial" w:eastAsia="Arial" w:hAnsi="Arial" w:cs="Arial"/>
          <w:sz w:val="22"/>
          <w:szCs w:val="22"/>
        </w:rPr>
        <w:t xml:space="preserve"> ($</w:t>
      </w:r>
      <w:r w:rsidR="00D34837">
        <w:rPr>
          <w:rFonts w:ascii="Arial" w:eastAsia="Arial" w:hAnsi="Arial" w:cs="Arial"/>
          <w:sz w:val="22"/>
          <w:szCs w:val="22"/>
        </w:rPr>
        <w:t>21.900</w:t>
      </w:r>
      <w:r w:rsidRPr="00D84C9D">
        <w:rPr>
          <w:rFonts w:ascii="Arial" w:eastAsia="Arial" w:hAnsi="Arial" w:cs="Arial"/>
          <w:sz w:val="22"/>
          <w:szCs w:val="22"/>
        </w:rPr>
        <w:t>) M/CTE.</w:t>
      </w:r>
      <w:r w:rsidR="008727D6">
        <w:rPr>
          <w:rFonts w:ascii="Arial" w:eastAsia="Arial" w:hAnsi="Arial" w:cs="Arial"/>
          <w:sz w:val="22"/>
          <w:szCs w:val="22"/>
        </w:rPr>
        <w:t>,</w:t>
      </w:r>
      <w:r w:rsidRPr="00D84C9D">
        <w:rPr>
          <w:rFonts w:ascii="Arial" w:eastAsia="Arial" w:hAnsi="Arial" w:cs="Arial"/>
          <w:sz w:val="22"/>
          <w:szCs w:val="22"/>
        </w:rPr>
        <w:t xml:space="preserve"> debiendo ser indexados según lo dicho y la formula anteriormente enunciada, así: </w:t>
      </w:r>
    </w:p>
    <w:p w14:paraId="6A1B3C06" w14:textId="77777777" w:rsidR="00C11A9D" w:rsidRPr="00D84C9D" w:rsidRDefault="00C11A9D">
      <w:pPr>
        <w:jc w:val="both"/>
        <w:rPr>
          <w:rFonts w:ascii="Arial" w:eastAsia="Arial" w:hAnsi="Arial" w:cs="Arial"/>
          <w:sz w:val="22"/>
          <w:szCs w:val="22"/>
        </w:rPr>
      </w:pPr>
    </w:p>
    <w:p w14:paraId="31DAAC8A" w14:textId="5CCF7BFB" w:rsidR="00C11A9D" w:rsidRPr="00CB6344" w:rsidRDefault="00E252DE">
      <w:pPr>
        <w:jc w:val="center"/>
        <w:rPr>
          <w:rFonts w:ascii="Arial" w:eastAsia="Arial" w:hAnsi="Arial" w:cs="Arial"/>
          <w:sz w:val="22"/>
          <w:szCs w:val="22"/>
          <w:lang w:val="es-CO"/>
        </w:rPr>
      </w:pPr>
      <w:r w:rsidRPr="00D84C9D">
        <w:rPr>
          <w:rFonts w:ascii="Arial" w:eastAsia="Arial" w:hAnsi="Arial" w:cs="Arial"/>
          <w:sz w:val="22"/>
          <w:szCs w:val="22"/>
        </w:rPr>
        <w:t xml:space="preserve">        </w:t>
      </w:r>
      <w:r w:rsidRPr="00CB6344">
        <w:rPr>
          <w:rFonts w:ascii="Arial" w:eastAsia="Arial" w:hAnsi="Arial" w:cs="Arial"/>
          <w:sz w:val="22"/>
          <w:szCs w:val="22"/>
          <w:lang w:val="es-CO"/>
        </w:rPr>
        <w:t>(IPC-F) 15</w:t>
      </w:r>
      <w:r w:rsidR="0047147D" w:rsidRPr="00CB6344">
        <w:rPr>
          <w:rFonts w:ascii="Arial" w:eastAsia="Arial" w:hAnsi="Arial" w:cs="Arial"/>
          <w:sz w:val="22"/>
          <w:szCs w:val="22"/>
          <w:lang w:val="es-CO"/>
        </w:rPr>
        <w:t>4,07</w:t>
      </w:r>
    </w:p>
    <w:p w14:paraId="2D19F55D" w14:textId="38D4D5E2" w:rsidR="00C11A9D" w:rsidRPr="00CB6344" w:rsidRDefault="00E252DE">
      <w:pPr>
        <w:jc w:val="center"/>
        <w:rPr>
          <w:rFonts w:ascii="Arial" w:eastAsia="Arial" w:hAnsi="Arial" w:cs="Arial"/>
          <w:sz w:val="22"/>
          <w:szCs w:val="22"/>
          <w:lang w:val="es-CO"/>
        </w:rPr>
      </w:pPr>
      <w:r w:rsidRPr="00CB6344">
        <w:rPr>
          <w:rFonts w:ascii="Arial" w:eastAsia="Arial" w:hAnsi="Arial" w:cs="Arial"/>
          <w:sz w:val="22"/>
          <w:szCs w:val="22"/>
          <w:lang w:val="es-CO"/>
        </w:rPr>
        <w:t>VP= (VH) $</w:t>
      </w:r>
      <w:r w:rsidR="00D34837">
        <w:rPr>
          <w:rFonts w:ascii="Arial" w:eastAsia="Arial" w:hAnsi="Arial" w:cs="Arial"/>
          <w:sz w:val="22"/>
          <w:szCs w:val="22"/>
          <w:lang w:val="es-CO"/>
        </w:rPr>
        <w:t>21.900</w:t>
      </w:r>
      <w:r w:rsidR="00AF033C" w:rsidRPr="00CB6344">
        <w:rPr>
          <w:rFonts w:ascii="Arial" w:eastAsia="Arial" w:hAnsi="Arial" w:cs="Arial"/>
          <w:sz w:val="22"/>
          <w:szCs w:val="22"/>
          <w:lang w:val="es-CO"/>
        </w:rPr>
        <w:t xml:space="preserve"> </w:t>
      </w:r>
      <w:r w:rsidRPr="00CB6344">
        <w:rPr>
          <w:rFonts w:ascii="Arial" w:eastAsia="Arial" w:hAnsi="Arial" w:cs="Arial"/>
          <w:sz w:val="22"/>
          <w:szCs w:val="22"/>
          <w:lang w:val="es-CO"/>
        </w:rPr>
        <w:t>--------------------------- = $</w:t>
      </w:r>
      <w:r w:rsidR="00D34837">
        <w:rPr>
          <w:rFonts w:ascii="Arial" w:eastAsia="Arial" w:hAnsi="Arial" w:cs="Arial"/>
          <w:sz w:val="22"/>
          <w:szCs w:val="22"/>
          <w:lang w:val="es-CO"/>
        </w:rPr>
        <w:t>4.890.048</w:t>
      </w:r>
    </w:p>
    <w:p w14:paraId="57E6B259" w14:textId="77777777" w:rsidR="00C11A9D" w:rsidRPr="00CB6344" w:rsidRDefault="00E252DE">
      <w:pPr>
        <w:jc w:val="center"/>
        <w:rPr>
          <w:rFonts w:ascii="Arial" w:eastAsia="Arial" w:hAnsi="Arial" w:cs="Arial"/>
          <w:sz w:val="22"/>
          <w:szCs w:val="22"/>
          <w:lang w:val="es-CO"/>
        </w:rPr>
      </w:pPr>
      <w:r w:rsidRPr="00CB6344">
        <w:rPr>
          <w:rFonts w:ascii="Arial" w:eastAsia="Arial" w:hAnsi="Arial" w:cs="Arial"/>
          <w:sz w:val="22"/>
          <w:szCs w:val="22"/>
          <w:lang w:val="es-CO"/>
        </w:rPr>
        <w:t xml:space="preserve">      (IPC-I) 0,69</w:t>
      </w:r>
    </w:p>
    <w:p w14:paraId="4854D7B3" w14:textId="77777777" w:rsidR="00C11A9D" w:rsidRPr="00CB6344" w:rsidRDefault="00C11A9D">
      <w:pPr>
        <w:jc w:val="both"/>
        <w:rPr>
          <w:rFonts w:ascii="Arial" w:eastAsia="Arial" w:hAnsi="Arial" w:cs="Arial"/>
          <w:sz w:val="22"/>
          <w:szCs w:val="22"/>
          <w:lang w:val="es-CO"/>
        </w:rPr>
      </w:pPr>
    </w:p>
    <w:p w14:paraId="79E3BFEC" w14:textId="4DA379A6" w:rsidR="00C11A9D" w:rsidRPr="00D84C9D" w:rsidRDefault="00E252DE">
      <w:pPr>
        <w:jc w:val="both"/>
        <w:rPr>
          <w:rFonts w:ascii="Arial" w:eastAsia="Arial" w:hAnsi="Arial" w:cs="Arial"/>
          <w:sz w:val="22"/>
          <w:szCs w:val="22"/>
          <w:highlight w:val="white"/>
          <w:lang w:val="es-CO"/>
        </w:rPr>
      </w:pPr>
      <w:r w:rsidRPr="00D84C9D">
        <w:rPr>
          <w:rFonts w:ascii="Arial" w:eastAsia="Arial" w:hAnsi="Arial" w:cs="Arial"/>
          <w:sz w:val="22"/>
          <w:szCs w:val="22"/>
        </w:rPr>
        <w:t xml:space="preserve">Que, conforme a la liquidación antes citada, el valor de la multa a imponer a la sociedad enajenadora INVERSIONES ALCABAMA S.A., identificada con el NIT. 800.208.146-3, </w:t>
      </w:r>
      <w:r w:rsidRPr="00D84C9D">
        <w:rPr>
          <w:rFonts w:ascii="Arial" w:eastAsia="Arial" w:hAnsi="Arial" w:cs="Arial"/>
          <w:sz w:val="22"/>
          <w:szCs w:val="22"/>
          <w:highlight w:val="white"/>
        </w:rPr>
        <w:t xml:space="preserve">por incumplimiento de la orden de hacer ya mencionada será de </w:t>
      </w:r>
      <w:r w:rsidR="00D34837">
        <w:rPr>
          <w:rFonts w:ascii="Arial" w:eastAsia="Arial" w:hAnsi="Arial" w:cs="Arial"/>
          <w:sz w:val="22"/>
          <w:szCs w:val="22"/>
          <w:highlight w:val="white"/>
        </w:rPr>
        <w:t xml:space="preserve">CUATRO MILLONES OCHOCIENTOS NOVENTA MIL CUARENTA Y OCHO PESOS </w:t>
      </w:r>
      <w:r w:rsidR="0047147D" w:rsidRPr="00D84C9D">
        <w:rPr>
          <w:rFonts w:ascii="Arial" w:eastAsia="Arial" w:hAnsi="Arial" w:cs="Arial"/>
          <w:sz w:val="22"/>
          <w:szCs w:val="22"/>
          <w:highlight w:val="white"/>
          <w:lang w:val="es-CO"/>
        </w:rPr>
        <w:t xml:space="preserve">PESOS </w:t>
      </w:r>
      <w:r w:rsidRPr="00D84C9D">
        <w:rPr>
          <w:rFonts w:ascii="Arial" w:eastAsia="Arial" w:hAnsi="Arial" w:cs="Arial"/>
          <w:sz w:val="22"/>
          <w:szCs w:val="22"/>
          <w:highlight w:val="white"/>
        </w:rPr>
        <w:t>($</w:t>
      </w:r>
      <w:r w:rsidR="00D34837">
        <w:rPr>
          <w:rFonts w:ascii="Arial" w:eastAsia="Arial" w:hAnsi="Arial" w:cs="Arial"/>
          <w:sz w:val="22"/>
          <w:szCs w:val="22"/>
        </w:rPr>
        <w:t>4.890.048</w:t>
      </w:r>
      <w:r w:rsidRPr="00D84C9D">
        <w:rPr>
          <w:rFonts w:ascii="Arial" w:eastAsia="Arial" w:hAnsi="Arial" w:cs="Arial"/>
          <w:sz w:val="22"/>
          <w:szCs w:val="22"/>
          <w:highlight w:val="white"/>
        </w:rPr>
        <w:t>) M/CTE</w:t>
      </w:r>
      <w:r w:rsidR="00C13024" w:rsidRPr="00D84C9D">
        <w:rPr>
          <w:rFonts w:ascii="Arial" w:eastAsia="Arial" w:hAnsi="Arial" w:cs="Arial"/>
          <w:sz w:val="22"/>
          <w:szCs w:val="22"/>
          <w:highlight w:val="white"/>
        </w:rPr>
        <w:t>.</w:t>
      </w:r>
      <w:r w:rsidRPr="00D84C9D">
        <w:rPr>
          <w:rFonts w:ascii="Arial" w:eastAsia="Arial" w:hAnsi="Arial" w:cs="Arial"/>
          <w:sz w:val="22"/>
          <w:szCs w:val="22"/>
          <w:highlight w:val="white"/>
        </w:rPr>
        <w:t>, s</w:t>
      </w:r>
      <w:r w:rsidRPr="00D84C9D">
        <w:rPr>
          <w:rFonts w:ascii="Arial" w:eastAsia="Arial" w:hAnsi="Arial" w:cs="Arial"/>
          <w:sz w:val="22"/>
          <w:szCs w:val="22"/>
        </w:rPr>
        <w:t xml:space="preserve">in perjuicio de que vuelvan a ser impuestas nuevas multas de continuar en incumplimiento.    </w:t>
      </w:r>
    </w:p>
    <w:p w14:paraId="3146AF08" w14:textId="77777777" w:rsidR="00C11A9D" w:rsidRPr="00D84C9D" w:rsidRDefault="00C11A9D">
      <w:pPr>
        <w:rPr>
          <w:rFonts w:ascii="Arial" w:eastAsia="Arial" w:hAnsi="Arial" w:cs="Arial"/>
          <w:b/>
          <w:bCs/>
          <w:sz w:val="22"/>
          <w:szCs w:val="22"/>
        </w:rPr>
      </w:pPr>
    </w:p>
    <w:p w14:paraId="7FB587C4" w14:textId="77777777" w:rsidR="00C11A9D" w:rsidRPr="00D84C9D" w:rsidRDefault="00E252DE">
      <w:pPr>
        <w:jc w:val="both"/>
        <w:rPr>
          <w:rFonts w:ascii="Arial" w:eastAsia="Arial" w:hAnsi="Arial" w:cs="Arial"/>
          <w:b/>
          <w:bCs/>
          <w:sz w:val="22"/>
          <w:szCs w:val="22"/>
          <w:highlight w:val="white"/>
        </w:rPr>
      </w:pPr>
      <w:r w:rsidRPr="00D84C9D">
        <w:rPr>
          <w:rFonts w:ascii="Arial" w:eastAsia="Arial" w:hAnsi="Arial" w:cs="Arial"/>
          <w:sz w:val="22"/>
          <w:szCs w:val="22"/>
          <w:highlight w:val="white"/>
        </w:rPr>
        <w:t>En mérito de lo expuesto este Despacho,</w:t>
      </w:r>
      <w:r w:rsidRPr="00D84C9D">
        <w:rPr>
          <w:rFonts w:ascii="Arial" w:eastAsia="Arial" w:hAnsi="Arial" w:cs="Arial"/>
          <w:b/>
          <w:bCs/>
          <w:sz w:val="22"/>
          <w:szCs w:val="22"/>
          <w:highlight w:val="white"/>
        </w:rPr>
        <w:t xml:space="preserve"> </w:t>
      </w:r>
    </w:p>
    <w:p w14:paraId="72265D71" w14:textId="77777777" w:rsidR="00C11A9D" w:rsidRPr="00D84C9D" w:rsidRDefault="00C11A9D">
      <w:pPr>
        <w:jc w:val="both"/>
        <w:rPr>
          <w:rFonts w:ascii="Arial" w:eastAsia="Arial" w:hAnsi="Arial" w:cs="Arial"/>
          <w:sz w:val="22"/>
          <w:szCs w:val="22"/>
        </w:rPr>
      </w:pPr>
    </w:p>
    <w:p w14:paraId="44DB9FD4" w14:textId="77777777" w:rsidR="00C11A9D" w:rsidRPr="00D84C9D" w:rsidRDefault="00E252DE">
      <w:pPr>
        <w:jc w:val="center"/>
        <w:rPr>
          <w:rFonts w:ascii="Arial" w:eastAsia="Arial" w:hAnsi="Arial" w:cs="Arial"/>
          <w:b/>
          <w:bCs/>
          <w:sz w:val="22"/>
          <w:szCs w:val="22"/>
          <w:highlight w:val="white"/>
        </w:rPr>
      </w:pPr>
      <w:r w:rsidRPr="00D84C9D">
        <w:rPr>
          <w:rFonts w:ascii="Arial" w:eastAsia="Arial" w:hAnsi="Arial" w:cs="Arial"/>
          <w:b/>
          <w:bCs/>
          <w:sz w:val="22"/>
          <w:szCs w:val="22"/>
          <w:highlight w:val="white"/>
        </w:rPr>
        <w:t>RESUELVE</w:t>
      </w:r>
    </w:p>
    <w:p w14:paraId="388F5185" w14:textId="77777777" w:rsidR="00C11A9D" w:rsidRPr="00D84C9D" w:rsidRDefault="00C11A9D">
      <w:pPr>
        <w:jc w:val="center"/>
        <w:rPr>
          <w:rFonts w:ascii="Arial" w:eastAsia="Arial" w:hAnsi="Arial" w:cs="Arial"/>
          <w:b/>
          <w:bCs/>
          <w:sz w:val="22"/>
          <w:szCs w:val="22"/>
          <w:highlight w:val="white"/>
        </w:rPr>
      </w:pPr>
    </w:p>
    <w:p w14:paraId="6D373C6C" w14:textId="35AA1337" w:rsidR="00C11A9D" w:rsidRPr="00D84C9D" w:rsidRDefault="00E252DE">
      <w:pPr>
        <w:jc w:val="both"/>
        <w:rPr>
          <w:rFonts w:ascii="Arial" w:eastAsia="Arial" w:hAnsi="Arial" w:cs="Arial"/>
          <w:sz w:val="22"/>
          <w:szCs w:val="22"/>
        </w:rPr>
      </w:pPr>
      <w:r w:rsidRPr="00D84C9D">
        <w:rPr>
          <w:rFonts w:ascii="Arial" w:eastAsia="Arial" w:hAnsi="Arial" w:cs="Arial"/>
          <w:b/>
          <w:bCs/>
          <w:sz w:val="22"/>
          <w:szCs w:val="22"/>
        </w:rPr>
        <w:t>ARTÍCULO PRIMERO:</w:t>
      </w:r>
      <w:r w:rsidRPr="00D84C9D">
        <w:rPr>
          <w:rFonts w:ascii="Arial" w:hAnsi="Arial" w:cs="Arial"/>
          <w:sz w:val="22"/>
          <w:szCs w:val="22"/>
        </w:rPr>
        <w:t xml:space="preserve"> Declárense subsanados los hechos consistentes en:</w:t>
      </w:r>
      <w:r w:rsidR="008727D6">
        <w:rPr>
          <w:rFonts w:ascii="Arial" w:hAnsi="Arial" w:cs="Arial"/>
          <w:sz w:val="22"/>
          <w:szCs w:val="22"/>
        </w:rPr>
        <w:t xml:space="preserve"> </w:t>
      </w:r>
      <w:r w:rsidR="00C13024" w:rsidRPr="00D84C9D">
        <w:rPr>
          <w:rFonts w:ascii="Arial" w:hAnsi="Arial" w:cs="Arial"/>
          <w:b/>
          <w:bCs/>
          <w:i/>
          <w:iCs/>
          <w:sz w:val="22"/>
          <w:szCs w:val="22"/>
        </w:rPr>
        <w:t>"</w:t>
      </w:r>
      <w:r w:rsidR="008727D6">
        <w:rPr>
          <w:rFonts w:ascii="Arial" w:hAnsi="Arial" w:cs="Arial"/>
          <w:b/>
          <w:bCs/>
          <w:i/>
          <w:iCs/>
          <w:sz w:val="22"/>
          <w:szCs w:val="22"/>
        </w:rPr>
        <w:t xml:space="preserve">1) </w:t>
      </w:r>
      <w:r w:rsidR="008727D6" w:rsidRPr="008727D6">
        <w:rPr>
          <w:rFonts w:ascii="Arial" w:eastAsia="Arial" w:hAnsi="Arial" w:cs="Arial"/>
          <w:b/>
          <w:bCs/>
          <w:i/>
          <w:iCs/>
          <w:sz w:val="22"/>
          <w:szCs w:val="22"/>
        </w:rPr>
        <w:t>fisuras en muros de las habitaciones</w:t>
      </w:r>
      <w:r w:rsidR="008727D6">
        <w:rPr>
          <w:rFonts w:ascii="Arial" w:eastAsia="Arial" w:hAnsi="Arial" w:cs="Arial"/>
          <w:b/>
          <w:bCs/>
          <w:i/>
          <w:iCs/>
          <w:sz w:val="22"/>
          <w:szCs w:val="22"/>
        </w:rPr>
        <w:t>”</w:t>
      </w:r>
      <w:r w:rsidR="008727D6" w:rsidRPr="00D84C9D">
        <w:rPr>
          <w:rFonts w:ascii="Arial" w:hAnsi="Arial" w:cs="Arial"/>
          <w:b/>
          <w:bCs/>
          <w:i/>
          <w:iCs/>
          <w:sz w:val="22"/>
          <w:szCs w:val="22"/>
        </w:rPr>
        <w:t xml:space="preserve"> </w:t>
      </w:r>
      <w:r w:rsidR="008727D6">
        <w:rPr>
          <w:rFonts w:ascii="Arial" w:hAnsi="Arial" w:cs="Arial"/>
          <w:b/>
          <w:bCs/>
          <w:i/>
          <w:iCs/>
          <w:sz w:val="22"/>
          <w:szCs w:val="22"/>
        </w:rPr>
        <w:t>“</w:t>
      </w:r>
      <w:r w:rsidR="00C13024" w:rsidRPr="00D84C9D">
        <w:rPr>
          <w:rFonts w:ascii="Arial" w:hAnsi="Arial" w:cs="Arial"/>
          <w:b/>
          <w:bCs/>
          <w:i/>
          <w:iCs/>
          <w:sz w:val="22"/>
          <w:szCs w:val="22"/>
        </w:rPr>
        <w:t>3) Levantamiento de pisos en hall y cocina",</w:t>
      </w:r>
      <w:r w:rsidR="008727D6">
        <w:rPr>
          <w:rFonts w:ascii="Arial" w:hAnsi="Arial" w:cs="Arial"/>
          <w:b/>
          <w:bCs/>
          <w:i/>
          <w:iCs/>
          <w:sz w:val="22"/>
          <w:szCs w:val="22"/>
        </w:rPr>
        <w:t xml:space="preserve"> </w:t>
      </w:r>
      <w:r w:rsidR="008727D6" w:rsidRPr="00D84C9D">
        <w:rPr>
          <w:rFonts w:ascii="Arial" w:hAnsi="Arial" w:cs="Arial"/>
          <w:b/>
          <w:bCs/>
          <w:i/>
          <w:iCs/>
          <w:sz w:val="22"/>
          <w:szCs w:val="22"/>
        </w:rPr>
        <w:t>"4) Daño en puertas de habitaciones, baños y acceso</w:t>
      </w:r>
      <w:r w:rsidR="008727D6" w:rsidRPr="00D84C9D">
        <w:rPr>
          <w:rFonts w:ascii="Arial" w:hAnsi="Arial" w:cs="Arial"/>
          <w:sz w:val="22"/>
          <w:szCs w:val="22"/>
        </w:rPr>
        <w:t>”</w:t>
      </w:r>
      <w:r w:rsidR="00C13024" w:rsidRPr="00D84C9D">
        <w:rPr>
          <w:rFonts w:ascii="Arial" w:hAnsi="Arial" w:cs="Arial"/>
          <w:b/>
          <w:bCs/>
          <w:i/>
          <w:iCs/>
          <w:sz w:val="22"/>
          <w:szCs w:val="22"/>
        </w:rPr>
        <w:t xml:space="preserve"> </w:t>
      </w:r>
      <w:r w:rsidR="008727D6" w:rsidRPr="00D84C9D">
        <w:rPr>
          <w:rFonts w:ascii="Arial" w:hAnsi="Arial" w:cs="Arial"/>
          <w:b/>
          <w:bCs/>
          <w:i/>
          <w:iCs/>
          <w:sz w:val="22"/>
          <w:szCs w:val="22"/>
        </w:rPr>
        <w:t>"5) Fisuras en techos"</w:t>
      </w:r>
      <w:r w:rsidR="008727D6">
        <w:rPr>
          <w:rFonts w:ascii="Arial" w:hAnsi="Arial" w:cs="Arial"/>
          <w:b/>
          <w:bCs/>
          <w:i/>
          <w:iCs/>
          <w:sz w:val="22"/>
          <w:szCs w:val="22"/>
        </w:rPr>
        <w:t xml:space="preserve"> y </w:t>
      </w:r>
      <w:r w:rsidR="00C13024" w:rsidRPr="00D84C9D">
        <w:rPr>
          <w:rFonts w:ascii="Arial" w:hAnsi="Arial" w:cs="Arial"/>
          <w:b/>
          <w:bCs/>
          <w:i/>
          <w:iCs/>
          <w:sz w:val="22"/>
          <w:szCs w:val="22"/>
        </w:rPr>
        <w:t>"6) Humedales en ventanas",</w:t>
      </w:r>
      <w:r w:rsidRPr="00D84C9D">
        <w:rPr>
          <w:rFonts w:ascii="Arial" w:hAnsi="Arial" w:cs="Arial"/>
          <w:sz w:val="22"/>
          <w:szCs w:val="22"/>
        </w:rPr>
        <w:t xml:space="preserve"> por considerarse como atendidas las órdenes de hacer, por parte de la enajenadora, de conformidad con los señalado en el Informe de Verificación de Hechos No. 25-366 del 20 de agosto de 2025.</w:t>
      </w:r>
    </w:p>
    <w:p w14:paraId="7B15E4A8" w14:textId="77777777" w:rsidR="00C11A9D" w:rsidRPr="00D84C9D" w:rsidRDefault="00C11A9D">
      <w:pPr>
        <w:jc w:val="both"/>
        <w:rPr>
          <w:rFonts w:ascii="Arial" w:eastAsia="Arial" w:hAnsi="Arial" w:cs="Arial"/>
          <w:sz w:val="22"/>
          <w:szCs w:val="22"/>
        </w:rPr>
      </w:pPr>
    </w:p>
    <w:p w14:paraId="11F1F0C1" w14:textId="6F23D56B" w:rsidR="00C11A9D" w:rsidRPr="001D4BA1" w:rsidRDefault="00E252DE">
      <w:pPr>
        <w:jc w:val="both"/>
        <w:rPr>
          <w:rFonts w:ascii="Arial" w:eastAsia="Arial" w:hAnsi="Arial" w:cs="Arial"/>
          <w:sz w:val="22"/>
          <w:szCs w:val="22"/>
        </w:rPr>
      </w:pPr>
      <w:r w:rsidRPr="00D84C9D">
        <w:rPr>
          <w:rFonts w:ascii="Arial" w:eastAsia="Arial" w:hAnsi="Arial" w:cs="Arial"/>
          <w:b/>
          <w:bCs/>
          <w:sz w:val="22"/>
          <w:szCs w:val="22"/>
        </w:rPr>
        <w:t>ARTICULO SEGUNDO:</w:t>
      </w:r>
      <w:r w:rsidRPr="00D84C9D">
        <w:rPr>
          <w:rFonts w:ascii="Arial" w:eastAsia="Arial" w:hAnsi="Arial" w:cs="Arial"/>
          <w:sz w:val="22"/>
          <w:szCs w:val="22"/>
        </w:rPr>
        <w:t xml:space="preserve"> IMPONER a la sociedad enajenadora INVERSIONES ALCABAMA S.A., identificada con el NIT. 800.208.146-3, multa de </w:t>
      </w:r>
      <w:r w:rsidR="008727D6">
        <w:rPr>
          <w:rFonts w:ascii="Arial" w:eastAsia="Arial" w:hAnsi="Arial" w:cs="Arial"/>
          <w:sz w:val="22"/>
          <w:szCs w:val="22"/>
        </w:rPr>
        <w:t xml:space="preserve">VEINTIÚN MIL NOVECIENTOS </w:t>
      </w:r>
      <w:r w:rsidR="008727D6" w:rsidRPr="00D84C9D">
        <w:rPr>
          <w:rFonts w:ascii="Arial" w:eastAsia="Arial" w:hAnsi="Arial" w:cs="Arial"/>
          <w:sz w:val="22"/>
          <w:szCs w:val="22"/>
        </w:rPr>
        <w:t>PESOS ($</w:t>
      </w:r>
      <w:r w:rsidR="008727D6">
        <w:rPr>
          <w:rFonts w:ascii="Arial" w:eastAsia="Arial" w:hAnsi="Arial" w:cs="Arial"/>
          <w:sz w:val="22"/>
          <w:szCs w:val="22"/>
        </w:rPr>
        <w:t>21.900</w:t>
      </w:r>
      <w:r w:rsidR="008727D6" w:rsidRPr="00D84C9D">
        <w:rPr>
          <w:rFonts w:ascii="Arial" w:eastAsia="Arial" w:hAnsi="Arial" w:cs="Arial"/>
          <w:sz w:val="22"/>
          <w:szCs w:val="22"/>
        </w:rPr>
        <w:t>) M/CTE</w:t>
      </w:r>
      <w:r w:rsidR="00C13024" w:rsidRPr="00D84C9D">
        <w:rPr>
          <w:rFonts w:ascii="Arial" w:eastAsia="Arial" w:hAnsi="Arial" w:cs="Arial"/>
          <w:sz w:val="22"/>
          <w:szCs w:val="22"/>
        </w:rPr>
        <w:t>.</w:t>
      </w:r>
      <w:r w:rsidRPr="00D84C9D">
        <w:rPr>
          <w:rFonts w:ascii="Arial" w:eastAsia="Arial" w:hAnsi="Arial" w:cs="Arial"/>
          <w:sz w:val="22"/>
          <w:szCs w:val="22"/>
          <w:highlight w:val="white"/>
        </w:rPr>
        <w:t>, que indexados a la fecha corresponden a</w:t>
      </w:r>
      <w:r w:rsidR="0047147D" w:rsidRPr="00D84C9D">
        <w:rPr>
          <w:rFonts w:ascii="Arial" w:eastAsia="Arial" w:hAnsi="Arial" w:cs="Arial"/>
          <w:sz w:val="22"/>
          <w:szCs w:val="22"/>
          <w:highlight w:val="white"/>
        </w:rPr>
        <w:t xml:space="preserve"> </w:t>
      </w:r>
      <w:r w:rsidR="008727D6">
        <w:rPr>
          <w:rFonts w:ascii="Arial" w:eastAsia="Arial" w:hAnsi="Arial" w:cs="Arial"/>
          <w:sz w:val="22"/>
          <w:szCs w:val="22"/>
          <w:highlight w:val="white"/>
        </w:rPr>
        <w:t xml:space="preserve">CUATRO MILLONES OCHOCIENTOS NOVENTA MIL CUARENTA Y OCHO PESOS </w:t>
      </w:r>
      <w:r w:rsidR="008727D6" w:rsidRPr="00D84C9D">
        <w:rPr>
          <w:rFonts w:ascii="Arial" w:eastAsia="Arial" w:hAnsi="Arial" w:cs="Arial"/>
          <w:sz w:val="22"/>
          <w:szCs w:val="22"/>
          <w:highlight w:val="white"/>
          <w:lang w:val="es-CO"/>
        </w:rPr>
        <w:t xml:space="preserve">PESOS </w:t>
      </w:r>
      <w:r w:rsidR="008727D6" w:rsidRPr="00D84C9D">
        <w:rPr>
          <w:rFonts w:ascii="Arial" w:eastAsia="Arial" w:hAnsi="Arial" w:cs="Arial"/>
          <w:sz w:val="22"/>
          <w:szCs w:val="22"/>
          <w:highlight w:val="white"/>
        </w:rPr>
        <w:t>($</w:t>
      </w:r>
      <w:r w:rsidR="008727D6">
        <w:rPr>
          <w:rFonts w:ascii="Arial" w:eastAsia="Arial" w:hAnsi="Arial" w:cs="Arial"/>
          <w:sz w:val="22"/>
          <w:szCs w:val="22"/>
        </w:rPr>
        <w:t>4.890.048</w:t>
      </w:r>
      <w:r w:rsidR="008727D6" w:rsidRPr="00D84C9D">
        <w:rPr>
          <w:rFonts w:ascii="Arial" w:eastAsia="Arial" w:hAnsi="Arial" w:cs="Arial"/>
          <w:sz w:val="22"/>
          <w:szCs w:val="22"/>
          <w:highlight w:val="white"/>
        </w:rPr>
        <w:t>) M/CTE.</w:t>
      </w:r>
      <w:r w:rsidRPr="00D84C9D">
        <w:rPr>
          <w:rFonts w:ascii="Arial" w:eastAsia="Arial" w:hAnsi="Arial" w:cs="Arial"/>
          <w:sz w:val="22"/>
          <w:szCs w:val="22"/>
        </w:rPr>
        <w:t xml:space="preserve">, de conformidad con lo señalado en la parte motiva del presente acto administrativo, sin perjuicio a que se impongan multas sucesivas hasta tanto se dé cumplimiento total a las órdenes emitidas por esta Dirección en la Resolución No. 728 del 14 de junio de 2022 </w:t>
      </w:r>
      <w:r w:rsidRPr="00D84C9D">
        <w:rPr>
          <w:rFonts w:ascii="Arial" w:eastAsia="Arial" w:hAnsi="Arial" w:cs="Arial"/>
          <w:i/>
          <w:iCs/>
          <w:sz w:val="22"/>
          <w:szCs w:val="22"/>
        </w:rPr>
        <w:t>Por la cual se impone una sanción y se imparte una orden</w:t>
      </w:r>
      <w:r w:rsidRPr="00D84C9D">
        <w:rPr>
          <w:rFonts w:ascii="Arial" w:eastAsia="Arial" w:hAnsi="Arial" w:cs="Arial"/>
          <w:sz w:val="22"/>
          <w:szCs w:val="22"/>
        </w:rPr>
        <w:t xml:space="preserve">”, según lo dispuesto en el inciso segundo numeral 9 del </w:t>
      </w:r>
      <w:r w:rsidRPr="001D4BA1">
        <w:rPr>
          <w:rFonts w:ascii="Arial" w:eastAsia="Arial" w:hAnsi="Arial" w:cs="Arial"/>
          <w:sz w:val="22"/>
          <w:szCs w:val="22"/>
        </w:rPr>
        <w:t xml:space="preserve">artículo 2º del Decreto Ley 078 de 1987.    </w:t>
      </w:r>
    </w:p>
    <w:p w14:paraId="09ADC900" w14:textId="77777777" w:rsidR="00C11A9D" w:rsidRPr="001D4BA1" w:rsidRDefault="00C11A9D">
      <w:pPr>
        <w:pBdr>
          <w:top w:val="nil"/>
          <w:left w:val="nil"/>
          <w:bottom w:val="nil"/>
          <w:right w:val="nil"/>
          <w:between w:val="nil"/>
        </w:pBdr>
        <w:jc w:val="both"/>
        <w:rPr>
          <w:rFonts w:ascii="Arial" w:eastAsia="Arial" w:hAnsi="Arial" w:cs="Arial"/>
          <w:b/>
          <w:bCs/>
          <w:sz w:val="22"/>
          <w:szCs w:val="22"/>
          <w:highlight w:val="white"/>
        </w:rPr>
      </w:pPr>
    </w:p>
    <w:p w14:paraId="6B04B0E8" w14:textId="77777777" w:rsidR="00C11A9D" w:rsidRPr="001D4BA1" w:rsidRDefault="00E252DE">
      <w:pPr>
        <w:pBdr>
          <w:top w:val="nil"/>
          <w:left w:val="nil"/>
          <w:bottom w:val="nil"/>
          <w:right w:val="nil"/>
          <w:between w:val="nil"/>
        </w:pBdr>
        <w:jc w:val="both"/>
        <w:rPr>
          <w:rFonts w:ascii="Arial" w:eastAsia="Arial" w:hAnsi="Arial" w:cs="Arial"/>
          <w:sz w:val="22"/>
          <w:szCs w:val="22"/>
        </w:rPr>
      </w:pPr>
      <w:r w:rsidRPr="001D4BA1">
        <w:rPr>
          <w:rFonts w:ascii="Arial" w:eastAsia="Arial" w:hAnsi="Arial" w:cs="Arial"/>
          <w:b/>
          <w:bCs/>
          <w:sz w:val="22"/>
          <w:szCs w:val="22"/>
          <w:highlight w:val="white"/>
        </w:rPr>
        <w:t>ARTICULO</w:t>
      </w:r>
      <w:r w:rsidRPr="001D4BA1">
        <w:rPr>
          <w:rFonts w:ascii="Arial" w:eastAsia="Arial" w:hAnsi="Arial" w:cs="Arial"/>
          <w:sz w:val="22"/>
          <w:szCs w:val="22"/>
        </w:rPr>
        <w:t xml:space="preserve"> </w:t>
      </w:r>
      <w:r w:rsidRPr="001D4BA1">
        <w:rPr>
          <w:rFonts w:ascii="Arial" w:eastAsia="Arial" w:hAnsi="Arial" w:cs="Arial"/>
          <w:b/>
          <w:bCs/>
          <w:sz w:val="22"/>
          <w:szCs w:val="22"/>
        </w:rPr>
        <w:t>TERCERO</w:t>
      </w:r>
      <w:r w:rsidRPr="001D4BA1">
        <w:rPr>
          <w:rFonts w:ascii="Arial" w:eastAsia="Arial" w:hAnsi="Arial" w:cs="Arial"/>
          <w:b/>
          <w:bCs/>
          <w:sz w:val="22"/>
          <w:szCs w:val="22"/>
          <w:highlight w:val="white"/>
        </w:rPr>
        <w:t xml:space="preserve">: </w:t>
      </w:r>
      <w:r w:rsidRPr="001D4BA1">
        <w:rPr>
          <w:rFonts w:ascii="Arial" w:eastAsia="Arial" w:hAnsi="Arial" w:cs="Arial"/>
          <w:sz w:val="22"/>
          <w:szCs w:val="22"/>
        </w:rPr>
        <w:t>El pago de la multa impuesta deberá ser cancelada a partir de la ejecutoria de la presente Resolución, trámite para lo cual se requiere solicitar “</w:t>
      </w:r>
      <w:r w:rsidRPr="001D4BA1">
        <w:rPr>
          <w:rFonts w:ascii="Arial" w:eastAsia="Arial" w:hAnsi="Arial" w:cs="Arial"/>
          <w:i/>
          <w:iCs/>
          <w:sz w:val="22"/>
          <w:szCs w:val="22"/>
        </w:rPr>
        <w:t>Formato de Conceptos Varios”</w:t>
      </w:r>
      <w:r w:rsidRPr="001D4BA1">
        <w:rPr>
          <w:rFonts w:ascii="Arial" w:eastAsia="Arial" w:hAnsi="Arial" w:cs="Arial"/>
          <w:sz w:val="22"/>
          <w:szCs w:val="22"/>
        </w:rPr>
        <w:t xml:space="preserve"> al correo electrónico </w:t>
      </w:r>
      <w:hyperlink r:id="rId7" w:history="1">
        <w:r w:rsidRPr="001D4BA1">
          <w:rPr>
            <w:rFonts w:ascii="Arial" w:eastAsia="Arial" w:hAnsi="Arial" w:cs="Arial"/>
            <w:sz w:val="22"/>
            <w:szCs w:val="22"/>
            <w:u w:val="single"/>
          </w:rPr>
          <w:t>cobropersuasivo@habitatbogota.gov.co</w:t>
        </w:r>
      </w:hyperlink>
      <w:r w:rsidRPr="001D4BA1">
        <w:rPr>
          <w:rFonts w:ascii="Arial" w:eastAsia="Arial" w:hAnsi="Arial" w:cs="Arial"/>
          <w:sz w:val="22"/>
          <w:szCs w:val="22"/>
        </w:rPr>
        <w:t xml:space="preserve">, documento con el que podrá realizar el pago en efectivo o cheque de Gerencia nombre de la Dirección Distrital de Tesorería, en cualquier sucursal del Banco de Occidente. Una vez efectuado el pago deberá radicar en nuestra área de correspondencia ubicada en la Carrera 13 52-25 Piso 1 o en el correo electrónico </w:t>
      </w:r>
      <w:hyperlink r:id="rId8" w:history="1">
        <w:r w:rsidRPr="001D4BA1">
          <w:rPr>
            <w:rFonts w:ascii="Arial" w:eastAsia="Arial" w:hAnsi="Arial" w:cs="Arial"/>
            <w:sz w:val="22"/>
            <w:szCs w:val="22"/>
            <w:u w:val="single"/>
          </w:rPr>
          <w:t>ventanilladecorrespondencia@habitatbogota.gov.co</w:t>
        </w:r>
      </w:hyperlink>
      <w:r w:rsidRPr="001D4BA1">
        <w:rPr>
          <w:rFonts w:ascii="Arial" w:eastAsia="Arial" w:hAnsi="Arial" w:cs="Arial"/>
          <w:sz w:val="22"/>
          <w:szCs w:val="22"/>
        </w:rPr>
        <w:t>, una fotocopia del recibo de pago, acompañada de un oficio remisorio.</w:t>
      </w:r>
    </w:p>
    <w:p w14:paraId="5BF9AFC8" w14:textId="64E53D33" w:rsidR="00C11A9D" w:rsidRPr="001D4BA1" w:rsidRDefault="00E252DE">
      <w:pPr>
        <w:pBdr>
          <w:top w:val="nil"/>
          <w:left w:val="nil"/>
          <w:bottom w:val="nil"/>
          <w:right w:val="nil"/>
          <w:between w:val="nil"/>
        </w:pBdr>
        <w:jc w:val="both"/>
        <w:rPr>
          <w:rFonts w:ascii="Arial" w:eastAsia="Arial" w:hAnsi="Arial" w:cs="Arial"/>
          <w:sz w:val="22"/>
          <w:szCs w:val="22"/>
        </w:rPr>
      </w:pPr>
      <w:r w:rsidRPr="001D4BA1">
        <w:rPr>
          <w:rFonts w:ascii="Arial" w:eastAsia="Arial" w:hAnsi="Arial" w:cs="Arial"/>
          <w:sz w:val="22"/>
          <w:szCs w:val="22"/>
        </w:rPr>
        <w:lastRenderedPageBreak/>
        <w:t> </w:t>
      </w:r>
      <w:r w:rsidRPr="001D4BA1">
        <w:rPr>
          <w:rFonts w:ascii="Arial" w:eastAsia="Arial" w:hAnsi="Arial" w:cs="Arial"/>
          <w:b/>
          <w:bCs/>
          <w:sz w:val="22"/>
          <w:szCs w:val="22"/>
        </w:rPr>
        <w:t>ARTÍCULO CUARTO: </w:t>
      </w:r>
      <w:r w:rsidRPr="001D4BA1">
        <w:rPr>
          <w:rFonts w:ascii="Arial" w:eastAsia="Arial" w:hAnsi="Arial" w:cs="Arial"/>
          <w:sz w:val="22"/>
          <w:szCs w:val="22"/>
        </w:rPr>
        <w:t>La presente Resolución presta mérito ejecutivo y causa intereses moratorios del 12% anual, desde su ejecutoria y hasta el momento en que se realice el pago, según lo establece el Decreto 289 de 2021 articulo 27 inc. 8. De no efectuarse el pago de la multa impuesta dentro del término señalado, éste se hará efectivo por jurisdicción coactiva a través de la Subdirección de Cobro no Tributario de la Secretaría Distrital de Hacienda, con las consecuencias jurídicas y financieras que de ello se derivan.</w:t>
      </w:r>
    </w:p>
    <w:p w14:paraId="14D96161" w14:textId="77777777" w:rsidR="00C11A9D" w:rsidRPr="001D4BA1" w:rsidRDefault="00C11A9D">
      <w:pPr>
        <w:pBdr>
          <w:top w:val="nil"/>
          <w:left w:val="nil"/>
          <w:bottom w:val="nil"/>
          <w:right w:val="nil"/>
          <w:between w:val="nil"/>
        </w:pBdr>
        <w:jc w:val="both"/>
        <w:rPr>
          <w:rFonts w:ascii="Arial" w:eastAsia="Arial" w:hAnsi="Arial" w:cs="Arial"/>
          <w:sz w:val="22"/>
          <w:szCs w:val="22"/>
        </w:rPr>
      </w:pPr>
    </w:p>
    <w:p w14:paraId="727971EB" w14:textId="41C6B4A5" w:rsidR="00C11A9D" w:rsidRPr="001D4BA1" w:rsidRDefault="00E252DE">
      <w:pPr>
        <w:pBdr>
          <w:top w:val="nil"/>
          <w:left w:val="nil"/>
          <w:bottom w:val="nil"/>
          <w:right w:val="nil"/>
          <w:between w:val="nil"/>
        </w:pBdr>
        <w:jc w:val="both"/>
        <w:rPr>
          <w:rFonts w:ascii="Arial" w:eastAsia="Arial" w:hAnsi="Arial" w:cs="Arial"/>
          <w:sz w:val="22"/>
          <w:szCs w:val="22"/>
        </w:rPr>
      </w:pPr>
      <w:r w:rsidRPr="001D4BA1">
        <w:rPr>
          <w:rFonts w:ascii="Arial" w:eastAsia="Arial" w:hAnsi="Arial" w:cs="Arial"/>
          <w:b/>
          <w:bCs/>
          <w:sz w:val="22"/>
          <w:szCs w:val="22"/>
        </w:rPr>
        <w:t>ARTÍCULO QUINTO:</w:t>
      </w:r>
      <w:r w:rsidRPr="001D4BA1">
        <w:rPr>
          <w:rFonts w:ascii="Arial" w:eastAsia="Arial" w:hAnsi="Arial" w:cs="Arial"/>
          <w:sz w:val="22"/>
          <w:szCs w:val="22"/>
        </w:rPr>
        <w:t xml:space="preserve"> Notificar el contenido de la presente Resolución al representante legal y/o al apoderado de la sociedad enajenadora INVERSIONES ALCABAMA S.A., identificada con el NIT. 800.208.146-3, representada legalmente por el señor ALBERTO BELLO DOMÍNGUEZ (o quien haga sus veces) para lo cual deberá </w:t>
      </w:r>
      <w:r w:rsidR="008727D6">
        <w:rPr>
          <w:rFonts w:ascii="Arial" w:eastAsia="Arial" w:hAnsi="Arial" w:cs="Arial"/>
          <w:sz w:val="22"/>
          <w:szCs w:val="22"/>
        </w:rPr>
        <w:t xml:space="preserve">notificarse al correo electrónico </w:t>
      </w:r>
      <w:hyperlink r:id="rId9" w:history="1">
        <w:r w:rsidR="008727D6" w:rsidRPr="00561D3E">
          <w:rPr>
            <w:rStyle w:val="Hipervnculo"/>
            <w:rFonts w:ascii="Arial" w:eastAsia="Arial" w:hAnsi="Arial" w:cs="Arial"/>
            <w:b/>
            <w:bCs/>
            <w:sz w:val="22"/>
            <w:szCs w:val="22"/>
          </w:rPr>
          <w:t>info@alcabama.com.co</w:t>
        </w:r>
      </w:hyperlink>
      <w:r w:rsidRPr="001D4BA1">
        <w:rPr>
          <w:rFonts w:ascii="Arial" w:eastAsia="Arial" w:hAnsi="Arial" w:cs="Arial"/>
          <w:sz w:val="22"/>
          <w:szCs w:val="22"/>
        </w:rPr>
        <w:t>;</w:t>
      </w:r>
      <w:r w:rsidR="008727D6">
        <w:rPr>
          <w:rFonts w:ascii="Arial" w:eastAsia="Arial" w:hAnsi="Arial" w:cs="Arial"/>
          <w:sz w:val="22"/>
          <w:szCs w:val="22"/>
        </w:rPr>
        <w:t xml:space="preserve"> de cuerdo al radicado No.1-2021-28417,</w:t>
      </w:r>
      <w:r w:rsidRPr="001D4BA1">
        <w:rPr>
          <w:rFonts w:ascii="Arial" w:eastAsia="Arial" w:hAnsi="Arial" w:cs="Arial"/>
          <w:sz w:val="22"/>
          <w:szCs w:val="22"/>
        </w:rPr>
        <w:t xml:space="preserve"> o, en su defecto, de conformidad con las normas de notificación previstas en la Ley 1437 de 2011.</w:t>
      </w:r>
    </w:p>
    <w:p w14:paraId="3814409A" w14:textId="77777777" w:rsidR="00C11A9D" w:rsidRPr="001D4BA1" w:rsidRDefault="00C11A9D">
      <w:pPr>
        <w:pBdr>
          <w:top w:val="nil"/>
          <w:left w:val="nil"/>
          <w:bottom w:val="nil"/>
          <w:right w:val="nil"/>
          <w:between w:val="nil"/>
        </w:pBdr>
        <w:jc w:val="both"/>
        <w:rPr>
          <w:rFonts w:ascii="Arial" w:eastAsia="Arial" w:hAnsi="Arial" w:cs="Arial"/>
          <w:sz w:val="22"/>
          <w:szCs w:val="22"/>
        </w:rPr>
      </w:pPr>
    </w:p>
    <w:p w14:paraId="7BFF33ED" w14:textId="6D12A677" w:rsidR="00C11A9D" w:rsidRPr="001D4BA1" w:rsidRDefault="00E252DE">
      <w:pPr>
        <w:jc w:val="both"/>
        <w:rPr>
          <w:rFonts w:ascii="Arial" w:eastAsia="Arial" w:hAnsi="Arial" w:cs="Arial"/>
          <w:sz w:val="22"/>
          <w:szCs w:val="22"/>
        </w:rPr>
      </w:pPr>
      <w:r w:rsidRPr="001D4BA1">
        <w:rPr>
          <w:rFonts w:ascii="Arial" w:eastAsia="Arial" w:hAnsi="Arial" w:cs="Arial"/>
          <w:b/>
          <w:bCs/>
          <w:sz w:val="22"/>
          <w:szCs w:val="22"/>
        </w:rPr>
        <w:t xml:space="preserve">ARTÍCULO </w:t>
      </w:r>
      <w:r w:rsidRPr="001D4BA1">
        <w:rPr>
          <w:rFonts w:ascii="Arial" w:eastAsia="Arial" w:hAnsi="Arial" w:cs="Arial"/>
          <w:b/>
          <w:bCs/>
          <w:sz w:val="22"/>
          <w:szCs w:val="22"/>
          <w:highlight w:val="white"/>
        </w:rPr>
        <w:t>SEXTO</w:t>
      </w:r>
      <w:r w:rsidRPr="001D4BA1">
        <w:rPr>
          <w:rFonts w:ascii="Arial" w:eastAsia="Arial" w:hAnsi="Arial" w:cs="Arial"/>
          <w:b/>
          <w:bCs/>
          <w:sz w:val="22"/>
          <w:szCs w:val="22"/>
        </w:rPr>
        <w:t>:</w:t>
      </w:r>
      <w:r w:rsidRPr="001D4BA1">
        <w:rPr>
          <w:rFonts w:ascii="Arial" w:eastAsia="Arial" w:hAnsi="Arial" w:cs="Arial"/>
          <w:sz w:val="22"/>
          <w:szCs w:val="22"/>
        </w:rPr>
        <w:t xml:space="preserve"> Notificar el contenido de esta Resolución al propietario </w:t>
      </w:r>
      <w:r w:rsidR="008727D6" w:rsidRPr="001D4BA1">
        <w:rPr>
          <w:rFonts w:ascii="Arial" w:eastAsia="Arial" w:hAnsi="Arial" w:cs="Arial"/>
          <w:sz w:val="22"/>
          <w:szCs w:val="22"/>
        </w:rPr>
        <w:t xml:space="preserve">del apartamento 811 </w:t>
      </w:r>
      <w:r w:rsidRPr="001D4BA1">
        <w:rPr>
          <w:rFonts w:ascii="Arial" w:eastAsia="Arial" w:hAnsi="Arial" w:cs="Arial"/>
          <w:sz w:val="22"/>
          <w:szCs w:val="22"/>
        </w:rPr>
        <w:t>(o quien haga sus veces) del proyecto de vivienda EDIFICIO MONTER</w:t>
      </w:r>
      <w:r w:rsidR="008727D6">
        <w:rPr>
          <w:rFonts w:ascii="Arial" w:eastAsia="Arial" w:hAnsi="Arial" w:cs="Arial"/>
          <w:sz w:val="22"/>
          <w:szCs w:val="22"/>
        </w:rPr>
        <w:t>R</w:t>
      </w:r>
      <w:r w:rsidRPr="001D4BA1">
        <w:rPr>
          <w:rFonts w:ascii="Arial" w:eastAsia="Arial" w:hAnsi="Arial" w:cs="Arial"/>
          <w:sz w:val="22"/>
          <w:szCs w:val="22"/>
        </w:rPr>
        <w:t xml:space="preserve">EY – PROPIEDAD HORIZONTAL, para lo cual deberá enviarse citación para notificación personal </w:t>
      </w:r>
      <w:r w:rsidRPr="008727D6">
        <w:rPr>
          <w:rFonts w:ascii="Arial" w:eastAsia="Arial" w:hAnsi="Arial" w:cs="Arial"/>
          <w:sz w:val="22"/>
          <w:szCs w:val="22"/>
        </w:rPr>
        <w:t xml:space="preserve">a la Carrera 59 A No. 136 - 25 </w:t>
      </w:r>
      <w:r w:rsidR="008727D6" w:rsidRPr="008727D6">
        <w:rPr>
          <w:rFonts w:ascii="Arial" w:eastAsia="Arial" w:hAnsi="Arial" w:cs="Arial"/>
          <w:sz w:val="22"/>
          <w:szCs w:val="22"/>
        </w:rPr>
        <w:t>apartamento</w:t>
      </w:r>
      <w:r w:rsidR="008727D6" w:rsidRPr="001D4BA1">
        <w:rPr>
          <w:rFonts w:ascii="Arial" w:eastAsia="Arial" w:hAnsi="Arial" w:cs="Arial"/>
          <w:sz w:val="22"/>
          <w:szCs w:val="22"/>
        </w:rPr>
        <w:t xml:space="preserve"> 811</w:t>
      </w:r>
      <w:r w:rsidR="008727D6">
        <w:rPr>
          <w:rFonts w:ascii="Arial" w:eastAsia="Arial" w:hAnsi="Arial" w:cs="Arial"/>
          <w:sz w:val="22"/>
          <w:szCs w:val="22"/>
        </w:rPr>
        <w:t xml:space="preserve"> </w:t>
      </w:r>
      <w:r w:rsidRPr="001D4BA1">
        <w:rPr>
          <w:rFonts w:ascii="Arial" w:eastAsia="Arial" w:hAnsi="Arial" w:cs="Arial"/>
          <w:sz w:val="22"/>
          <w:szCs w:val="22"/>
        </w:rPr>
        <w:t>en Bogotá; o, en su defecto, de conformidad con las normas de notificación previstas en la Ley 1437 de 2011.</w:t>
      </w:r>
    </w:p>
    <w:p w14:paraId="0877FF17" w14:textId="77777777" w:rsidR="00C11A9D" w:rsidRPr="001D4BA1" w:rsidRDefault="00C11A9D">
      <w:pPr>
        <w:widowControl w:val="0"/>
        <w:jc w:val="both"/>
        <w:rPr>
          <w:rFonts w:ascii="Arial" w:eastAsia="Arial" w:hAnsi="Arial" w:cs="Arial"/>
          <w:b/>
          <w:bCs/>
          <w:sz w:val="22"/>
          <w:szCs w:val="22"/>
        </w:rPr>
      </w:pPr>
    </w:p>
    <w:p w14:paraId="7E81CFB9" w14:textId="77777777" w:rsidR="00C11A9D" w:rsidRPr="001D4BA1" w:rsidRDefault="00E252DE">
      <w:pPr>
        <w:widowControl w:val="0"/>
        <w:jc w:val="both"/>
        <w:rPr>
          <w:rFonts w:ascii="Arial" w:eastAsia="Arial" w:hAnsi="Arial" w:cs="Arial"/>
          <w:sz w:val="22"/>
          <w:szCs w:val="22"/>
        </w:rPr>
      </w:pPr>
      <w:r w:rsidRPr="001D4BA1">
        <w:rPr>
          <w:rFonts w:ascii="Arial" w:eastAsia="Arial" w:hAnsi="Arial" w:cs="Arial"/>
          <w:b/>
          <w:bCs/>
          <w:sz w:val="22"/>
          <w:szCs w:val="22"/>
        </w:rPr>
        <w:t xml:space="preserve">ARTÍCULO SÉPTIMO: </w:t>
      </w:r>
      <w:r w:rsidRPr="001D4BA1">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550AD927" w14:textId="77777777" w:rsidR="00C11A9D" w:rsidRPr="001D4BA1" w:rsidRDefault="00C11A9D">
      <w:pPr>
        <w:widowControl w:val="0"/>
        <w:jc w:val="both"/>
        <w:rPr>
          <w:rFonts w:ascii="Arial" w:eastAsia="Arial" w:hAnsi="Arial" w:cs="Arial"/>
          <w:sz w:val="22"/>
          <w:szCs w:val="22"/>
        </w:rPr>
      </w:pPr>
    </w:p>
    <w:p w14:paraId="1C398B0E" w14:textId="77777777" w:rsidR="00C11A9D" w:rsidRPr="001D4BA1" w:rsidRDefault="00E252DE">
      <w:pPr>
        <w:jc w:val="both"/>
        <w:rPr>
          <w:rFonts w:ascii="Arial" w:eastAsia="Arial" w:hAnsi="Arial" w:cs="Arial"/>
          <w:sz w:val="22"/>
          <w:szCs w:val="22"/>
        </w:rPr>
      </w:pPr>
      <w:r w:rsidRPr="001D4BA1">
        <w:rPr>
          <w:rFonts w:ascii="Arial" w:eastAsia="Arial" w:hAnsi="Arial" w:cs="Arial"/>
          <w:b/>
          <w:bCs/>
          <w:sz w:val="22"/>
          <w:szCs w:val="22"/>
        </w:rPr>
        <w:t>ARTÍCULO OCTAVO:</w:t>
      </w:r>
      <w:r w:rsidRPr="001D4BA1">
        <w:rPr>
          <w:rFonts w:ascii="Arial" w:eastAsia="Arial" w:hAnsi="Arial" w:cs="Arial"/>
          <w:sz w:val="22"/>
          <w:szCs w:val="22"/>
        </w:rPr>
        <w:t xml:space="preserve"> La presente Resolución rige a partir de su expedición.</w:t>
      </w:r>
    </w:p>
    <w:p w14:paraId="6698626A" w14:textId="77777777" w:rsidR="00C11A9D" w:rsidRPr="001D4BA1" w:rsidRDefault="00C11A9D">
      <w:pPr>
        <w:pBdr>
          <w:top w:val="nil"/>
          <w:left w:val="nil"/>
          <w:bottom w:val="nil"/>
          <w:right w:val="nil"/>
          <w:between w:val="nil"/>
        </w:pBdr>
        <w:jc w:val="both"/>
        <w:rPr>
          <w:rFonts w:ascii="Arial" w:eastAsia="Arial" w:hAnsi="Arial" w:cs="Arial"/>
          <w:b/>
          <w:bCs/>
          <w:sz w:val="22"/>
          <w:szCs w:val="22"/>
          <w:highlight w:val="white"/>
        </w:rPr>
      </w:pPr>
    </w:p>
    <w:p w14:paraId="7F045D89" w14:textId="77777777" w:rsidR="00C11A9D" w:rsidRPr="001D4BA1" w:rsidRDefault="00E252DE">
      <w:pPr>
        <w:widowControl w:val="0"/>
        <w:jc w:val="center"/>
        <w:rPr>
          <w:rFonts w:ascii="Arial" w:eastAsia="Arial" w:hAnsi="Arial" w:cs="Arial"/>
          <w:b/>
          <w:bCs/>
          <w:sz w:val="22"/>
          <w:szCs w:val="22"/>
          <w:highlight w:val="white"/>
        </w:rPr>
      </w:pPr>
      <w:r w:rsidRPr="001D4BA1">
        <w:rPr>
          <w:rFonts w:ascii="Arial" w:eastAsia="Arial" w:hAnsi="Arial" w:cs="Arial"/>
          <w:b/>
          <w:bCs/>
          <w:sz w:val="22"/>
          <w:szCs w:val="22"/>
          <w:highlight w:val="white"/>
        </w:rPr>
        <w:t>NOTIFÍQUESE Y CÚMPLASE.</w:t>
      </w:r>
    </w:p>
    <w:p w14:paraId="65855996" w14:textId="77777777" w:rsidR="00C11A9D" w:rsidRPr="001D4BA1" w:rsidRDefault="00C11A9D">
      <w:pPr>
        <w:rPr>
          <w:rFonts w:ascii="Arial" w:eastAsia="Arial" w:hAnsi="Arial" w:cs="Arial"/>
          <w:b/>
          <w:bCs/>
          <w:sz w:val="22"/>
          <w:szCs w:val="22"/>
        </w:rPr>
      </w:pPr>
    </w:p>
    <w:p w14:paraId="47CAC342" w14:textId="77777777" w:rsidR="00C11A9D" w:rsidRPr="001D4BA1" w:rsidRDefault="00C11A9D">
      <w:pPr>
        <w:jc w:val="center"/>
        <w:rPr>
          <w:rFonts w:ascii="Arial" w:eastAsia="Arial" w:hAnsi="Arial" w:cs="Arial"/>
          <w:b/>
          <w:bCs/>
          <w:sz w:val="22"/>
          <w:szCs w:val="22"/>
        </w:rPr>
      </w:pPr>
    </w:p>
    <w:p w14:paraId="48B186CE" w14:textId="77777777" w:rsidR="00C11A9D" w:rsidRPr="001D4BA1" w:rsidRDefault="00C11A9D">
      <w:pPr>
        <w:rPr>
          <w:rFonts w:ascii="Arial" w:eastAsia="Arial" w:hAnsi="Arial" w:cs="Arial"/>
          <w:b/>
          <w:bCs/>
          <w:sz w:val="22"/>
          <w:szCs w:val="22"/>
        </w:rPr>
      </w:pPr>
    </w:p>
    <w:p w14:paraId="5D8D5FC8" w14:textId="77777777" w:rsidR="00C11A9D" w:rsidRPr="001D4BA1" w:rsidRDefault="00C11A9D">
      <w:pPr>
        <w:jc w:val="center"/>
        <w:rPr>
          <w:rFonts w:ascii="Arial" w:eastAsia="Arial" w:hAnsi="Arial" w:cs="Arial"/>
          <w:b/>
          <w:bCs/>
          <w:sz w:val="22"/>
          <w:szCs w:val="22"/>
        </w:rPr>
      </w:pPr>
    </w:p>
    <w:p w14:paraId="13A0586C" w14:textId="77777777" w:rsidR="00C11A9D" w:rsidRPr="001D4BA1" w:rsidRDefault="00E252DE">
      <w:pPr>
        <w:jc w:val="center"/>
        <w:rPr>
          <w:rFonts w:ascii="Arial" w:eastAsia="Arial" w:hAnsi="Arial" w:cs="Arial"/>
          <w:b/>
          <w:bCs/>
          <w:sz w:val="22"/>
          <w:szCs w:val="22"/>
        </w:rPr>
      </w:pPr>
      <w:r w:rsidRPr="001D4BA1">
        <w:rPr>
          <w:rFonts w:ascii="Arial" w:eastAsia="Arial" w:hAnsi="Arial" w:cs="Arial"/>
          <w:b/>
          <w:bCs/>
          <w:sz w:val="22"/>
          <w:szCs w:val="22"/>
        </w:rPr>
        <w:t>JAZMÍN ROCÍO OROZCO RODRÍGUEZ</w:t>
      </w:r>
    </w:p>
    <w:p w14:paraId="096CD5C5" w14:textId="77777777" w:rsidR="00C11A9D" w:rsidRPr="001D4BA1" w:rsidRDefault="00E252DE">
      <w:pPr>
        <w:jc w:val="center"/>
        <w:rPr>
          <w:rFonts w:ascii="Arial" w:eastAsia="Arial" w:hAnsi="Arial" w:cs="Arial"/>
          <w:b/>
          <w:bCs/>
          <w:sz w:val="22"/>
          <w:szCs w:val="22"/>
        </w:rPr>
      </w:pPr>
      <w:r w:rsidRPr="001D4BA1">
        <w:rPr>
          <w:rFonts w:ascii="Arial" w:eastAsia="Arial" w:hAnsi="Arial" w:cs="Arial"/>
          <w:b/>
          <w:bCs/>
          <w:sz w:val="22"/>
          <w:szCs w:val="22"/>
        </w:rPr>
        <w:t>Directora de Investigaciones y Control de Vivienda</w:t>
      </w:r>
    </w:p>
    <w:p w14:paraId="2F519253" w14:textId="77777777" w:rsidR="00C11A9D" w:rsidRPr="001D4BA1" w:rsidRDefault="00C11A9D">
      <w:pPr>
        <w:rPr>
          <w:rFonts w:ascii="Arial" w:eastAsia="Arial" w:hAnsi="Arial" w:cs="Arial"/>
          <w:sz w:val="22"/>
          <w:szCs w:val="22"/>
        </w:rPr>
      </w:pPr>
    </w:p>
    <w:p w14:paraId="676756FD" w14:textId="77777777" w:rsidR="00C11A9D" w:rsidRPr="001D4BA1" w:rsidRDefault="00E252DE">
      <w:pPr>
        <w:pBdr>
          <w:top w:val="nil"/>
          <w:left w:val="nil"/>
          <w:bottom w:val="nil"/>
          <w:right w:val="nil"/>
          <w:between w:val="nil"/>
        </w:pBdr>
        <w:rPr>
          <w:rFonts w:ascii="Arial" w:eastAsia="Arial" w:hAnsi="Arial" w:cs="Arial"/>
          <w:i/>
          <w:iCs/>
          <w:sz w:val="16"/>
          <w:szCs w:val="16"/>
        </w:rPr>
      </w:pPr>
      <w:r w:rsidRPr="001D4BA1">
        <w:rPr>
          <w:rFonts w:ascii="Arial" w:eastAsia="Arial" w:hAnsi="Arial" w:cs="Arial"/>
          <w:i/>
          <w:iCs/>
          <w:sz w:val="16"/>
          <w:szCs w:val="16"/>
        </w:rPr>
        <w:t>Proyectó: Daniel Santiago Cristiano González- Abogado Contratista – DICV</w:t>
      </w:r>
    </w:p>
    <w:p w14:paraId="028103C7" w14:textId="77777777" w:rsidR="00C11A9D" w:rsidRPr="001D4BA1" w:rsidRDefault="00E252DE">
      <w:pPr>
        <w:pBdr>
          <w:top w:val="nil"/>
          <w:left w:val="nil"/>
          <w:bottom w:val="nil"/>
          <w:right w:val="nil"/>
          <w:between w:val="nil"/>
        </w:pBdr>
        <w:rPr>
          <w:rFonts w:ascii="Arial" w:eastAsia="Arial" w:hAnsi="Arial" w:cs="Arial"/>
          <w:i/>
          <w:iCs/>
          <w:sz w:val="16"/>
          <w:szCs w:val="16"/>
        </w:rPr>
      </w:pPr>
      <w:r w:rsidRPr="001D4BA1">
        <w:rPr>
          <w:rFonts w:ascii="Arial" w:eastAsia="Arial" w:hAnsi="Arial" w:cs="Arial"/>
          <w:i/>
          <w:iCs/>
          <w:sz w:val="16"/>
          <w:szCs w:val="16"/>
        </w:rPr>
        <w:t xml:space="preserve">Revisó: Mauricio Hernández Beltrán – Abogado Contratista – DICV. </w:t>
      </w:r>
    </w:p>
    <w:p w14:paraId="2A7A90EF" w14:textId="77777777" w:rsidR="00C11A9D" w:rsidRDefault="00C11A9D">
      <w:pPr>
        <w:pBdr>
          <w:top w:val="nil"/>
          <w:left w:val="nil"/>
          <w:bottom w:val="nil"/>
          <w:right w:val="nil"/>
          <w:between w:val="nil"/>
        </w:pBdr>
        <w:rPr>
          <w:rFonts w:ascii="Arial" w:eastAsia="Arial" w:hAnsi="Arial" w:cs="Arial"/>
          <w:i/>
          <w:iCs/>
          <w:sz w:val="16"/>
          <w:szCs w:val="16"/>
        </w:rPr>
      </w:pPr>
    </w:p>
    <w:p w14:paraId="01F7FC24" w14:textId="77777777" w:rsidR="009172FE" w:rsidRDefault="009172FE">
      <w:pPr>
        <w:pBdr>
          <w:top w:val="nil"/>
          <w:left w:val="nil"/>
          <w:bottom w:val="nil"/>
          <w:right w:val="nil"/>
          <w:between w:val="nil"/>
        </w:pBdr>
        <w:rPr>
          <w:rFonts w:ascii="Arial" w:eastAsia="Arial" w:hAnsi="Arial" w:cs="Arial"/>
          <w:i/>
          <w:iCs/>
          <w:sz w:val="16"/>
          <w:szCs w:val="16"/>
        </w:rPr>
      </w:pPr>
    </w:p>
    <w:p w14:paraId="432E4278" w14:textId="77777777" w:rsidR="009172FE" w:rsidRDefault="009172FE">
      <w:pPr>
        <w:pBdr>
          <w:top w:val="nil"/>
          <w:left w:val="nil"/>
          <w:bottom w:val="nil"/>
          <w:right w:val="nil"/>
          <w:between w:val="nil"/>
        </w:pBdr>
        <w:rPr>
          <w:rFonts w:ascii="Arial" w:eastAsia="Arial" w:hAnsi="Arial" w:cs="Arial"/>
          <w:i/>
          <w:iCs/>
          <w:sz w:val="16"/>
          <w:szCs w:val="16"/>
        </w:rPr>
      </w:pPr>
    </w:p>
    <w:p w14:paraId="2E28796B" w14:textId="77777777" w:rsidR="009172FE" w:rsidRDefault="009172FE">
      <w:pPr>
        <w:pBdr>
          <w:top w:val="nil"/>
          <w:left w:val="nil"/>
          <w:bottom w:val="nil"/>
          <w:right w:val="nil"/>
          <w:between w:val="nil"/>
        </w:pBdr>
        <w:rPr>
          <w:rFonts w:ascii="Arial" w:eastAsia="Arial" w:hAnsi="Arial" w:cs="Arial"/>
          <w:i/>
          <w:iCs/>
          <w:sz w:val="16"/>
          <w:szCs w:val="16"/>
        </w:rPr>
      </w:pPr>
    </w:p>
    <w:p w14:paraId="22A1E610" w14:textId="77777777" w:rsidR="009172FE" w:rsidRDefault="009172FE">
      <w:pPr>
        <w:pBdr>
          <w:top w:val="nil"/>
          <w:left w:val="nil"/>
          <w:bottom w:val="nil"/>
          <w:right w:val="nil"/>
          <w:between w:val="nil"/>
        </w:pBdr>
        <w:rPr>
          <w:rFonts w:ascii="Arial" w:eastAsia="Arial" w:hAnsi="Arial" w:cs="Arial"/>
          <w:i/>
          <w:iCs/>
          <w:sz w:val="16"/>
          <w:szCs w:val="16"/>
        </w:rPr>
      </w:pPr>
    </w:p>
    <w:p w14:paraId="7F2CF3F0" w14:textId="77777777" w:rsidR="009172FE" w:rsidRDefault="009172FE">
      <w:pPr>
        <w:pBdr>
          <w:top w:val="nil"/>
          <w:left w:val="nil"/>
          <w:bottom w:val="nil"/>
          <w:right w:val="nil"/>
          <w:between w:val="nil"/>
        </w:pBdr>
        <w:rPr>
          <w:rFonts w:ascii="Arial" w:eastAsia="Arial" w:hAnsi="Arial" w:cs="Arial"/>
          <w:i/>
          <w:iCs/>
          <w:sz w:val="16"/>
          <w:szCs w:val="16"/>
        </w:rPr>
      </w:pPr>
    </w:p>
    <w:p w14:paraId="3DB1ECE3" w14:textId="77777777" w:rsidR="009172FE" w:rsidRDefault="009172FE">
      <w:pPr>
        <w:pBdr>
          <w:top w:val="nil"/>
          <w:left w:val="nil"/>
          <w:bottom w:val="nil"/>
          <w:right w:val="nil"/>
          <w:between w:val="nil"/>
        </w:pBdr>
        <w:rPr>
          <w:rFonts w:ascii="Arial" w:eastAsia="Arial" w:hAnsi="Arial" w:cs="Arial"/>
          <w:i/>
          <w:iCs/>
          <w:sz w:val="16"/>
          <w:szCs w:val="16"/>
        </w:rPr>
      </w:pPr>
    </w:p>
    <w:sectPr w:rsidR="009172FE">
      <w:headerReference w:type="default" r:id="rId10"/>
      <w:footerReference w:type="default" r:id="rId11"/>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1D0149" w14:textId="77777777" w:rsidR="00B5408F" w:rsidRDefault="00B5408F">
      <w:r>
        <w:separator/>
      </w:r>
    </w:p>
  </w:endnote>
  <w:endnote w:type="continuationSeparator" w:id="0">
    <w:p w14:paraId="79AE8F16" w14:textId="77777777" w:rsidR="00B5408F" w:rsidRDefault="00B540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altName w:val="Calibri"/>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embedRegular r:id="rId1" w:fontKey="{79352291-27CB-4F25-8AFA-3FB27C2F8D29}"/>
  </w:font>
  <w:font w:name="Aptos">
    <w:charset w:val="00"/>
    <w:family w:val="swiss"/>
    <w:pitch w:val="variable"/>
    <w:sig w:usb0="20000287" w:usb1="00000003" w:usb2="00000000" w:usb3="00000000" w:csb0="0000019F" w:csb1="00000000"/>
    <w:embedRegular r:id="rId2" w:fontKey="{95082FF6-6E16-4B8C-BA4F-B5B829ED2BE5}"/>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BF350E92-C123-4EA1-A00D-CAB169D89C03}"/>
    <w:embedBold r:id="rId4" w:fontKey="{ADD3114E-D71B-46F5-A2C5-8321C446D09C}"/>
  </w:font>
  <w:font w:name="Cambria">
    <w:panose1 w:val="02040503050406030204"/>
    <w:charset w:val="00"/>
    <w:family w:val="roman"/>
    <w:pitch w:val="variable"/>
    <w:sig w:usb0="E00006FF" w:usb1="420024FF" w:usb2="02000000" w:usb3="00000000" w:csb0="0000019F" w:csb1="00000000"/>
    <w:embedRegular r:id="rId5" w:fontKey="{B3CF6665-DABC-4145-B95B-98C3EA7B801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885D7" w14:textId="77777777" w:rsidR="00C11A9D" w:rsidRDefault="00E252DE">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3" behindDoc="0" locked="0" layoutInCell="1" allowOverlap="1" wp14:anchorId="6B373E86" wp14:editId="41669D34">
          <wp:simplePos x="0" y="0"/>
          <wp:positionH relativeFrom="column">
            <wp:posOffset>2239010</wp:posOffset>
          </wp:positionH>
          <wp:positionV relativeFrom="paragraph">
            <wp:posOffset>74295</wp:posOffset>
          </wp:positionV>
          <wp:extent cx="2133600" cy="861695"/>
          <wp:effectExtent l="0" t="0" r="0" b="0"/>
          <wp:wrapSquare wrapText="bothSides"/>
          <wp:docPr id="4098" name="image2.png" descr="Imagen que contiene Texto&#10;&#10;El contenido generado por IA puede ser incorrec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2.png"/>
                  <pic:cNvPicPr/>
                </pic:nvPicPr>
                <pic:blipFill>
                  <a:blip r:embed="rId1" cstate="print"/>
                  <a:srcRect/>
                  <a:stretch/>
                </pic:blipFill>
                <pic:spPr>
                  <a:xfrm>
                    <a:off x="0" y="0"/>
                    <a:ext cx="2133600" cy="861695"/>
                  </a:xfrm>
                  <a:prstGeom prst="rect">
                    <a:avLst/>
                  </a:prstGeom>
                  <a:ln w="9525" cap="flat" cmpd="sng">
                    <a:solidFill>
                      <a:srgbClr val="000000"/>
                    </a:solidFill>
                    <a:prstDash val="solid"/>
                    <a:round/>
                    <a:headEnd/>
                    <a:tailEnd/>
                  </a:ln>
                </pic:spPr>
              </pic:pic>
            </a:graphicData>
          </a:graphic>
        </wp:anchor>
      </w:drawing>
    </w:r>
  </w:p>
  <w:p w14:paraId="61C33F94" w14:textId="77777777" w:rsidR="00C11A9D" w:rsidRDefault="00E252DE">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Pr>
        <w:b/>
        <w:bCs/>
        <w:noProof/>
        <w:color w:val="000000"/>
      </w:rPr>
      <w:t>2</w:t>
    </w:r>
    <w:r>
      <w:rPr>
        <w:b/>
        <w:bCs/>
        <w:color w:val="000000"/>
      </w:rPr>
      <w:fldChar w:fldCharType="end"/>
    </w:r>
  </w:p>
  <w:p w14:paraId="1A6AECA2" w14:textId="77777777" w:rsidR="00C11A9D" w:rsidRDefault="00E252DE">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1304C17F" w14:textId="77777777" w:rsidR="00C11A9D" w:rsidRDefault="00E252DE">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4" behindDoc="0" locked="0" layoutInCell="1" allowOverlap="1" wp14:anchorId="18A9BDC4" wp14:editId="42E1D4EE">
              <wp:simplePos x="0" y="0"/>
              <wp:positionH relativeFrom="column">
                <wp:posOffset>5199063</wp:posOffset>
              </wp:positionH>
              <wp:positionV relativeFrom="paragraph">
                <wp:posOffset>96838</wp:posOffset>
              </wp:positionV>
              <wp:extent cx="1050923" cy="708659"/>
              <wp:effectExtent l="0" t="0" r="0" b="0"/>
              <wp:wrapSquare wrapText="bothSides"/>
              <wp:docPr id="4099" name="Rectángulo 17257875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0923" cy="708659"/>
                      </a:xfrm>
                      <a:prstGeom prst="rect">
                        <a:avLst/>
                      </a:prstGeom>
                      <a:solidFill>
                        <a:srgbClr val="FFFFFF"/>
                      </a:solidFill>
                      <a:ln w="9525" cap="flat" cmpd="sng">
                        <a:solidFill>
                          <a:srgbClr val="FFFFFF"/>
                        </a:solidFill>
                        <a:prstDash val="solid"/>
                        <a:miter/>
                        <a:headEnd type="none" w="sm" len="sm"/>
                        <a:tailEnd type="none" w="sm" len="sm"/>
                      </a:ln>
                    </wps:spPr>
                    <wps:txbx>
                      <w:txbxContent>
                        <w:p w14:paraId="1B0C9090" w14:textId="77777777" w:rsidR="00C11A9D" w:rsidRDefault="00E252DE">
                          <w:pPr>
                            <w:jc w:val="center"/>
                            <w:textDirection w:val="btLr"/>
                          </w:pPr>
                          <w:r>
                            <w:rPr>
                              <w:rFonts w:ascii="Arial" w:eastAsia="Arial" w:hAnsi="Arial" w:cs="Arial"/>
                              <w:color w:val="000000"/>
                              <w:sz w:val="14"/>
                            </w:rPr>
                            <w:t>PG02-PL03 V2</w:t>
                          </w:r>
                        </w:p>
                      </w:txbxContent>
                    </wps:txbx>
                    <wps:bodyPr wrap="square" lIns="91425" tIns="45700" rIns="91425" bIns="45700" anchor="t">
                      <a:prstTxWarp prst="textNoShape">
                        <a:avLst/>
                      </a:prstTxWarp>
                      <a:noAutofit/>
                    </wps:bodyPr>
                  </wps:wsp>
                </a:graphicData>
              </a:graphic>
            </wp:anchor>
          </w:drawing>
        </mc:Choice>
        <mc:Fallback>
          <w:pict>
            <v:rect w14:anchorId="18A9BDC4" id="Rectángulo 1725787584" o:spid="_x0000_s1026" style="position:absolute;margin-left:409.4pt;margin-top:7.65pt;width:82.75pt;height:55.8pt;z-index: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" strokecolor="white">
              <v:stroke startarrowwidth="narrow" startarrowlength="short" endarrowwidth="narrow" endarrowlength="short"/>
              <v:path arrowok="t"/>
              <v:textbox inset="2.53958mm,1.2694mm,2.53958mm,1.2694mm">
                <w:txbxContent>
                  <w:p w14:paraId="1B0C9090" w14:textId="77777777" w:rsidR="00C11A9D" w:rsidRDefault="00E252DE">
                    <w:pPr>
                      <w:jc w:val="center"/>
                      <w:textDirection w:val="btLr"/>
                    </w:pPr>
                    <w:r>
                      <w:rPr>
                        <w:rFonts w:ascii="Arial" w:eastAsia="Arial" w:hAnsi="Arial" w:cs="Arial"/>
                        <w:color w:val="000000"/>
                        <w:sz w:val="14"/>
                      </w:rPr>
                      <w:t>PG02-PL03 V2</w:t>
                    </w:r>
                  </w:p>
                </w:txbxContent>
              </v:textbox>
              <w10:wrap type="square"/>
            </v:rect>
          </w:pict>
        </mc:Fallback>
      </mc:AlternateContent>
    </w:r>
  </w:p>
  <w:p w14:paraId="387FD2EB" w14:textId="77777777" w:rsidR="00C11A9D" w:rsidRDefault="00E252DE">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1ACB5A8A" w14:textId="77777777" w:rsidR="00C11A9D" w:rsidRPr="00CB6344" w:rsidRDefault="00E252DE">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CB6344">
      <w:rPr>
        <w:rFonts w:ascii="Arial" w:eastAsia="Arial" w:hAnsi="Arial" w:cs="Arial"/>
        <w:color w:val="000000"/>
        <w:sz w:val="16"/>
        <w:szCs w:val="16"/>
        <w:lang w:val="pt-PT"/>
      </w:rPr>
      <w:t xml:space="preserve">Código Postal: 110231 </w:t>
    </w:r>
  </w:p>
  <w:p w14:paraId="065D1975" w14:textId="77777777" w:rsidR="00C11A9D" w:rsidRPr="00CB6344" w:rsidRDefault="00E252DE">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history="1">
      <w:r w:rsidRPr="00CB6344">
        <w:rPr>
          <w:rFonts w:ascii="Arial" w:eastAsia="Arial" w:hAnsi="Arial" w:cs="Arial"/>
          <w:color w:val="0000FF"/>
          <w:sz w:val="16"/>
          <w:szCs w:val="16"/>
          <w:u w:val="single"/>
          <w:lang w:val="pt-PT"/>
        </w:rPr>
        <w:t>www.habitatbogota.gov.co</w:t>
      </w:r>
    </w:hyperlink>
    <w:r w:rsidRPr="00CB6344">
      <w:rPr>
        <w:rFonts w:ascii="Arial" w:eastAsia="Arial" w:hAnsi="Arial" w:cs="Arial"/>
        <w:color w:val="000000"/>
        <w:sz w:val="16"/>
        <w:szCs w:val="16"/>
        <w:lang w:val="pt-PT"/>
      </w:rPr>
      <w:t xml:space="preserve">                 </w:t>
    </w:r>
  </w:p>
  <w:p w14:paraId="3CA64F42" w14:textId="77777777" w:rsidR="00C11A9D" w:rsidRPr="00CB6344" w:rsidRDefault="00C11A9D">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C53990" w14:textId="77777777" w:rsidR="00B5408F" w:rsidRDefault="00B5408F">
      <w:r>
        <w:separator/>
      </w:r>
    </w:p>
  </w:footnote>
  <w:footnote w:type="continuationSeparator" w:id="0">
    <w:p w14:paraId="7A105BDF" w14:textId="77777777" w:rsidR="00B5408F" w:rsidRDefault="00B5408F">
      <w:r>
        <w:continuationSeparator/>
      </w:r>
    </w:p>
  </w:footnote>
  <w:footnote w:id="1">
    <w:p w14:paraId="6CB2884C" w14:textId="77777777" w:rsidR="00C11A9D" w:rsidRDefault="00E252DE">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000000"/>
          <w:sz w:val="16"/>
          <w:szCs w:val="16"/>
          <w:highlight w:val="white"/>
        </w:rPr>
        <w:t>el Consejo de Estado - Sala de lo Contencioso Administrativo - Sección Primera, al evaluar la legalidad de la Directiva 001 del 11 de octubre de 2004 expedida por el entonces Subdirector de Control de Vivienda del Departamento Técnico Administrativo del Medio Ambiente de Bogotá D.C. (DAMA), se pronunció indicando que la actualización dineraria de las multas impuestas por este Despacho son totalmente ajustadas a Derecho, para una mayor ilustración se procede a transcribir unos apartes del fallo contenido en el expediente No. 2006-00986-01 del treinta (30) de mayo de dos mil trece (2013)</w:t>
      </w:r>
    </w:p>
  </w:footnote>
  <w:footnote w:id="2">
    <w:p w14:paraId="1823C3A6" w14:textId="77777777" w:rsidR="00C11A9D" w:rsidRDefault="00E252DE">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Consejo de Estado de Colombia, Sección Tercera, Subsección C,</w:t>
      </w:r>
      <w:r>
        <w:rPr>
          <w:rFonts w:ascii="Arial" w:eastAsia="Arial" w:hAnsi="Arial" w:cs="Arial"/>
          <w:b/>
          <w:bCs/>
          <w:color w:val="000000"/>
          <w:sz w:val="16"/>
          <w:szCs w:val="16"/>
        </w:rPr>
        <w:t xml:space="preserve"> </w:t>
      </w:r>
      <w:r>
        <w:rPr>
          <w:rFonts w:ascii="Arial" w:eastAsia="Arial" w:hAnsi="Arial" w:cs="Arial"/>
          <w:color w:val="000000"/>
          <w:sz w:val="16"/>
          <w:szCs w:val="16"/>
        </w:rPr>
        <w:t xml:space="preserve">05001-23-24-000-1996-00680-01(20738), C.P, Gil Botero, Enrique. </w:t>
      </w:r>
    </w:p>
    <w:p w14:paraId="2F156A55" w14:textId="77777777" w:rsidR="00C11A9D" w:rsidRDefault="00E252DE">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FFBC2" w14:textId="2F93289D" w:rsidR="00C11A9D" w:rsidRDefault="00CB6344">
    <w:pPr>
      <w:rPr>
        <w:b/>
        <w:bCs/>
        <w:sz w:val="22"/>
        <w:szCs w:val="22"/>
      </w:rPr>
    </w:pPr>
    <w:r>
      <w:rPr>
        <w:rFonts w:ascii="Calibri" w:eastAsia="Calibri" w:hAnsi="Calibri" w:cs="Calibri"/>
        <w:noProof/>
        <w:sz w:val="22"/>
        <w:szCs w:val="22"/>
      </w:rPr>
      <w:drawing>
        <wp:anchor distT="0" distB="0" distL="114300" distR="114300" simplePos="0" relativeHeight="2" behindDoc="0" locked="0" layoutInCell="1" allowOverlap="1" wp14:anchorId="2BB6B3D7" wp14:editId="058B91F6">
          <wp:simplePos x="0" y="0"/>
          <wp:positionH relativeFrom="margin">
            <wp:posOffset>2143125</wp:posOffset>
          </wp:positionH>
          <wp:positionV relativeFrom="page">
            <wp:posOffset>274320</wp:posOffset>
          </wp:positionV>
          <wp:extent cx="1935480" cy="469900"/>
          <wp:effectExtent l="19050" t="19050" r="26670" b="25400"/>
          <wp:wrapSquare wrapText="bothSides"/>
          <wp:docPr id="4097" name="image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1.png"/>
                  <pic:cNvPicPr/>
                </pic:nvPicPr>
                <pic:blipFill>
                  <a:blip r:embed="rId1" cstate="print"/>
                  <a:srcRect/>
                  <a:stretch/>
                </pic:blipFill>
                <pic:spPr>
                  <a:xfrm>
                    <a:off x="0" y="0"/>
                    <a:ext cx="1935480" cy="469900"/>
                  </a:xfrm>
                  <a:prstGeom prst="rect">
                    <a:avLst/>
                  </a:prstGeom>
                  <a:ln w="9525" cap="flat" cmpd="sng">
                    <a:solidFill>
                      <a:srgbClr val="000000"/>
                    </a:solidFill>
                    <a:prstDash val="solid"/>
                    <a:round/>
                    <a:headEnd/>
                    <a:tailEnd/>
                  </a:ln>
                </pic:spPr>
              </pic:pic>
            </a:graphicData>
          </a:graphic>
          <wp14:sizeRelH relativeFrom="margin">
            <wp14:pctWidth>0</wp14:pctWidth>
          </wp14:sizeRelH>
        </wp:anchor>
      </w:drawing>
    </w:r>
  </w:p>
  <w:p w14:paraId="0CE9FD93" w14:textId="77777777" w:rsidR="00C11A9D" w:rsidRDefault="00C11A9D">
    <w:pPr>
      <w:rPr>
        <w:b/>
        <w:bCs/>
        <w:sz w:val="22"/>
        <w:szCs w:val="22"/>
      </w:rPr>
    </w:pPr>
  </w:p>
  <w:p w14:paraId="07B19772" w14:textId="77777777" w:rsidR="00C11A9D" w:rsidRDefault="00C11A9D">
    <w:pPr>
      <w:rPr>
        <w:b/>
        <w:bCs/>
        <w:sz w:val="22"/>
        <w:szCs w:val="22"/>
      </w:rPr>
    </w:pPr>
  </w:p>
  <w:p w14:paraId="430B95E1" w14:textId="77777777" w:rsidR="00C11A9D" w:rsidRDefault="00E252DE">
    <w:pPr>
      <w:jc w:val="center"/>
      <w:rPr>
        <w:rFonts w:ascii="Arial" w:eastAsia="Arial" w:hAnsi="Arial" w:cs="Arial"/>
        <w:b/>
        <w:bCs/>
        <w:sz w:val="22"/>
        <w:szCs w:val="22"/>
      </w:rPr>
    </w:pPr>
    <w:r>
      <w:rPr>
        <w:rFonts w:ascii="Arial" w:eastAsia="Arial" w:hAnsi="Arial" w:cs="Arial"/>
        <w:b/>
        <w:bCs/>
        <w:sz w:val="22"/>
        <w:szCs w:val="22"/>
      </w:rPr>
      <w:t>RESOLUCIÓN No. DEL ____DE ____ DE 2026</w:t>
    </w:r>
  </w:p>
  <w:p w14:paraId="2E81ABAF" w14:textId="77777777" w:rsidR="00C11A9D" w:rsidRDefault="00E252DE">
    <w:pPr>
      <w:jc w:val="center"/>
      <w:rPr>
        <w:rFonts w:ascii="Arial" w:eastAsia="Arial" w:hAnsi="Arial" w:cs="Arial"/>
        <w:sz w:val="22"/>
        <w:szCs w:val="22"/>
      </w:rPr>
    </w:pPr>
    <w:r>
      <w:rPr>
        <w:rFonts w:ascii="Arial" w:eastAsia="Arial" w:hAnsi="Arial" w:cs="Arial"/>
        <w:sz w:val="22"/>
        <w:szCs w:val="22"/>
      </w:rPr>
      <w:t>“Por la cual se impone una multa por incumplimiento a una orden”</w:t>
    </w:r>
  </w:p>
  <w:p w14:paraId="3FA43556" w14:textId="3CB2B9EA" w:rsidR="00C11A9D" w:rsidRDefault="00C11A9D">
    <w:pPr>
      <w:rPr>
        <w:rFonts w:ascii="Calibri" w:eastAsia="Calibri" w:hAnsi="Calibri" w:cs="Calibri"/>
        <w:b/>
        <w:bCs/>
        <w:sz w:val="22"/>
        <w:szCs w:val="22"/>
      </w:rPr>
    </w:pPr>
    <w:bookmarkStart w:id="5" w:name="_heading=h.g0ck6mntm1z9" w:colFirst="0" w:colLast="0"/>
    <w:bookmarkEnd w:id="5"/>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1A9D"/>
    <w:rsid w:val="00013EBE"/>
    <w:rsid w:val="000A3514"/>
    <w:rsid w:val="000E1523"/>
    <w:rsid w:val="0011685B"/>
    <w:rsid w:val="00121B13"/>
    <w:rsid w:val="001551EB"/>
    <w:rsid w:val="001D4BA1"/>
    <w:rsid w:val="001F1D3E"/>
    <w:rsid w:val="00300124"/>
    <w:rsid w:val="00390C8A"/>
    <w:rsid w:val="00412A02"/>
    <w:rsid w:val="0047147D"/>
    <w:rsid w:val="004E219A"/>
    <w:rsid w:val="005B2CCC"/>
    <w:rsid w:val="005B5A98"/>
    <w:rsid w:val="00607B2D"/>
    <w:rsid w:val="00614CAA"/>
    <w:rsid w:val="00652A4D"/>
    <w:rsid w:val="00691F27"/>
    <w:rsid w:val="006F2AEF"/>
    <w:rsid w:val="007F41A7"/>
    <w:rsid w:val="008422EA"/>
    <w:rsid w:val="00861134"/>
    <w:rsid w:val="0087242E"/>
    <w:rsid w:val="008727D6"/>
    <w:rsid w:val="009172FE"/>
    <w:rsid w:val="009179FA"/>
    <w:rsid w:val="009B4753"/>
    <w:rsid w:val="009F10D4"/>
    <w:rsid w:val="00A504AA"/>
    <w:rsid w:val="00A5456E"/>
    <w:rsid w:val="00A728F1"/>
    <w:rsid w:val="00AF033C"/>
    <w:rsid w:val="00B214EA"/>
    <w:rsid w:val="00B5408F"/>
    <w:rsid w:val="00C06A1D"/>
    <w:rsid w:val="00C11A9D"/>
    <w:rsid w:val="00C13024"/>
    <w:rsid w:val="00CA65A9"/>
    <w:rsid w:val="00CA6DB1"/>
    <w:rsid w:val="00CB6344"/>
    <w:rsid w:val="00D34837"/>
    <w:rsid w:val="00D62B60"/>
    <w:rsid w:val="00D84C9D"/>
    <w:rsid w:val="00E252DE"/>
    <w:rsid w:val="00E701A6"/>
    <w:rsid w:val="00E7409A"/>
    <w:rsid w:val="00F77D05"/>
    <w:rsid w:val="00F825AF"/>
    <w:rsid w:val="00FA532F"/>
    <w:rsid w:val="00FD5030"/>
    <w:rsid w:val="00FE6DCB"/>
    <w:rsid w:val="00FF190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1874DA"/>
  <w15:docId w15:val="{BC575AFF-2736-0A43-881F-39D6A6366F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qFormat/>
    <w:pPr>
      <w:keepNext/>
      <w:keepLines/>
      <w:spacing w:before="40"/>
      <w:outlineLvl w:val="6"/>
    </w:pPr>
    <w:rPr>
      <w:rFonts w:eastAsia="SimSun" w:cs="SimSun"/>
      <w:color w:val="595959"/>
    </w:rPr>
  </w:style>
  <w:style w:type="paragraph" w:styleId="Ttulo8">
    <w:name w:val="heading 8"/>
    <w:basedOn w:val="Normal"/>
    <w:next w:val="Normal"/>
    <w:link w:val="Ttulo8Car"/>
    <w:uiPriority w:val="9"/>
    <w:qFormat/>
    <w:pPr>
      <w:keepNext/>
      <w:keepLines/>
      <w:outlineLvl w:val="7"/>
    </w:pPr>
    <w:rPr>
      <w:rFonts w:eastAsia="SimSun" w:cs="SimSun"/>
      <w:i/>
      <w:iCs/>
      <w:color w:val="272727"/>
    </w:rPr>
  </w:style>
  <w:style w:type="paragraph" w:styleId="Ttulo9">
    <w:name w:val="heading 9"/>
    <w:basedOn w:val="Normal"/>
    <w:next w:val="Normal"/>
    <w:link w:val="Ttulo9Car"/>
    <w:uiPriority w:val="9"/>
    <w:qFormat/>
    <w:pPr>
      <w:keepNext/>
      <w:keepLines/>
      <w:outlineLvl w:val="8"/>
    </w:pPr>
    <w:rPr>
      <w:rFonts w:eastAsia="SimSun" w:cs="SimSun"/>
      <w:color w:val="272727"/>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character" w:customStyle="1" w:styleId="Ttulo1Car">
    <w:name w:val="Título 1 Car"/>
    <w:basedOn w:val="Fuentedeprrafopredeter"/>
    <w:rPr>
      <w:rFonts w:ascii="Aptos Display" w:eastAsia="SimSun" w:hAnsi="Aptos Display" w:cs="SimSun"/>
      <w:color w:val="0F4761"/>
      <w:sz w:val="40"/>
      <w:szCs w:val="40"/>
    </w:rPr>
  </w:style>
  <w:style w:type="character" w:customStyle="1" w:styleId="Ttulo2Car">
    <w:name w:val="Título 2 Car"/>
    <w:basedOn w:val="Fuentedeprrafopredeter"/>
    <w:uiPriority w:val="9"/>
    <w:rPr>
      <w:rFonts w:ascii="Aptos Display" w:eastAsia="SimSun" w:hAnsi="Aptos Display" w:cs="SimSun"/>
      <w:color w:val="0F4761"/>
      <w:sz w:val="32"/>
      <w:szCs w:val="32"/>
    </w:rPr>
  </w:style>
  <w:style w:type="character" w:customStyle="1" w:styleId="Ttulo3Car">
    <w:name w:val="Título 3 Car"/>
    <w:basedOn w:val="Fuentedeprrafopredeter"/>
    <w:uiPriority w:val="9"/>
    <w:rPr>
      <w:rFonts w:eastAsia="SimSun" w:cs="SimSun"/>
      <w:color w:val="0F4761"/>
      <w:sz w:val="28"/>
      <w:szCs w:val="28"/>
    </w:rPr>
  </w:style>
  <w:style w:type="character" w:customStyle="1" w:styleId="Ttulo4Car">
    <w:name w:val="Título 4 Car"/>
    <w:basedOn w:val="Fuentedeprrafopredeter"/>
    <w:uiPriority w:val="9"/>
    <w:rPr>
      <w:rFonts w:eastAsia="SimSun" w:cs="SimSun"/>
      <w:i/>
      <w:iCs/>
      <w:color w:val="0F4761"/>
    </w:rPr>
  </w:style>
  <w:style w:type="character" w:customStyle="1" w:styleId="Ttulo5Car">
    <w:name w:val="Título 5 Car"/>
    <w:basedOn w:val="Fuentedeprrafopredeter"/>
    <w:uiPriority w:val="9"/>
    <w:rPr>
      <w:rFonts w:eastAsia="SimSun" w:cs="SimSun"/>
      <w:color w:val="0F4761"/>
    </w:rPr>
  </w:style>
  <w:style w:type="character" w:customStyle="1" w:styleId="Ttulo6Car">
    <w:name w:val="Título 6 Car"/>
    <w:basedOn w:val="Fuentedeprrafopredeter"/>
    <w:uiPriority w:val="9"/>
    <w:rPr>
      <w:rFonts w:eastAsia="SimSun" w:cs="SimSun"/>
      <w:i/>
      <w:iCs/>
      <w:color w:val="595959"/>
    </w:rPr>
  </w:style>
  <w:style w:type="character" w:customStyle="1" w:styleId="Ttulo7Car">
    <w:name w:val="Título 7 Car"/>
    <w:basedOn w:val="Fuentedeprrafopredeter"/>
    <w:link w:val="Ttulo7"/>
    <w:uiPriority w:val="9"/>
    <w:rPr>
      <w:rFonts w:eastAsia="SimSun" w:cs="SimSun"/>
      <w:color w:val="595959"/>
    </w:rPr>
  </w:style>
  <w:style w:type="character" w:customStyle="1" w:styleId="Ttulo8Car">
    <w:name w:val="Título 8 Car"/>
    <w:basedOn w:val="Fuentedeprrafopredeter"/>
    <w:link w:val="Ttulo8"/>
    <w:uiPriority w:val="9"/>
    <w:rPr>
      <w:rFonts w:eastAsia="SimSun" w:cs="SimSun"/>
      <w:i/>
      <w:iCs/>
      <w:color w:val="272727"/>
    </w:rPr>
  </w:style>
  <w:style w:type="character" w:customStyle="1" w:styleId="Ttulo9Car">
    <w:name w:val="Título 9 Car"/>
    <w:basedOn w:val="Fuentedeprrafopredeter"/>
    <w:link w:val="Ttulo9"/>
    <w:uiPriority w:val="9"/>
    <w:rPr>
      <w:rFonts w:eastAsia="SimSun" w:cs="SimSun"/>
      <w:color w:val="272727"/>
    </w:rPr>
  </w:style>
  <w:style w:type="character" w:customStyle="1" w:styleId="TtuloCar">
    <w:name w:val="Título Car"/>
    <w:basedOn w:val="Fuentedeprrafopredeter"/>
    <w:uiPriority w:val="10"/>
    <w:rPr>
      <w:rFonts w:ascii="Aptos Display" w:eastAsia="SimSun" w:hAnsi="Aptos Display" w:cs="SimSun"/>
      <w:spacing w:val="-10"/>
      <w:kern w:val="28"/>
      <w:sz w:val="56"/>
      <w:szCs w:val="56"/>
    </w:rPr>
  </w:style>
  <w:style w:type="character" w:customStyle="1" w:styleId="SubttuloCar">
    <w:name w:val="Subtítulo Car"/>
    <w:basedOn w:val="Fuentedeprrafopredeter"/>
    <w:uiPriority w:val="11"/>
    <w:rPr>
      <w:rFonts w:eastAsia="SimSun" w:cs="SimSun"/>
      <w:color w:val="595959"/>
      <w:spacing w:val="15"/>
      <w:sz w:val="28"/>
      <w:szCs w:val="28"/>
    </w:rPr>
  </w:style>
  <w:style w:type="paragraph" w:styleId="Cita">
    <w:name w:val="Quote"/>
    <w:basedOn w:val="Normal"/>
    <w:next w:val="Normal"/>
    <w:link w:val="CitaCar"/>
    <w:uiPriority w:val="29"/>
    <w:qFormat/>
    <w:pPr>
      <w:spacing w:before="160"/>
      <w:jc w:val="center"/>
    </w:pPr>
    <w:rPr>
      <w:i/>
      <w:iCs/>
      <w:color w:val="404040"/>
    </w:rPr>
  </w:style>
  <w:style w:type="character" w:customStyle="1" w:styleId="CitaCar">
    <w:name w:val="Cita Car"/>
    <w:basedOn w:val="Fuentedeprrafopredeter"/>
    <w:link w:val="Cita"/>
    <w:uiPriority w:val="29"/>
    <w:rPr>
      <w:i/>
      <w:iCs/>
      <w:color w:val="404040"/>
    </w:rPr>
  </w:style>
  <w:style w:type="paragraph" w:styleId="Prrafodelista">
    <w:name w:val="List Paragraph"/>
    <w:basedOn w:val="Normal"/>
    <w:link w:val="PrrafodelistaCar"/>
    <w:uiPriority w:val="34"/>
    <w:qFormat/>
    <w:pPr>
      <w:ind w:left="720"/>
      <w:contextualSpacing/>
    </w:pPr>
  </w:style>
  <w:style w:type="character" w:styleId="nfasisintenso">
    <w:name w:val="Intense Emphasis"/>
    <w:basedOn w:val="Fuentedeprrafopredeter"/>
    <w:uiPriority w:val="21"/>
    <w:qFormat/>
    <w:rPr>
      <w:i/>
      <w:iCs/>
      <w:color w:val="0F4761"/>
    </w:rPr>
  </w:style>
  <w:style w:type="paragraph" w:styleId="Citadestacada">
    <w:name w:val="Intense Quote"/>
    <w:basedOn w:val="Normal"/>
    <w:next w:val="Normal"/>
    <w:link w:val="CitadestacadaCar"/>
    <w:uiPriority w:val="30"/>
    <w:qFormat/>
    <w:pPr>
      <w:pBdr>
        <w:top w:val="single" w:sz="4" w:space="10" w:color="0F4761"/>
        <w:bottom w:val="single" w:sz="4" w:space="10" w:color="0F4761"/>
      </w:pBdr>
      <w:spacing w:before="360" w:after="360"/>
      <w:ind w:left="864" w:right="864"/>
      <w:jc w:val="center"/>
    </w:pPr>
    <w:rPr>
      <w:i/>
      <w:iCs/>
      <w:color w:val="0F4761"/>
    </w:rPr>
  </w:style>
  <w:style w:type="character" w:customStyle="1" w:styleId="CitadestacadaCar">
    <w:name w:val="Cita destacada Car"/>
    <w:basedOn w:val="Fuentedeprrafopredeter"/>
    <w:link w:val="Citadestacada"/>
    <w:uiPriority w:val="30"/>
    <w:rPr>
      <w:i/>
      <w:iCs/>
      <w:color w:val="0F4761"/>
    </w:rPr>
  </w:style>
  <w:style w:type="character" w:styleId="Referenciaintensa">
    <w:name w:val="Intense Reference"/>
    <w:basedOn w:val="Fuentedeprrafopredeter"/>
    <w:uiPriority w:val="32"/>
    <w:qFormat/>
    <w:rPr>
      <w:b/>
      <w:bCs/>
      <w:smallCaps/>
      <w:color w:val="0F4761"/>
      <w:spacing w:val="5"/>
    </w:rPr>
  </w:style>
  <w:style w:type="paragraph" w:styleId="Encabezado">
    <w:name w:val="header"/>
    <w:basedOn w:val="Normal"/>
    <w:link w:val="EncabezadoCar"/>
    <w:uiPriority w:val="99"/>
    <w:pPr>
      <w:tabs>
        <w:tab w:val="center" w:pos="4419"/>
        <w:tab w:val="right" w:pos="8838"/>
      </w:tabs>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pPr>
      <w:tabs>
        <w:tab w:val="center" w:pos="4419"/>
        <w:tab w:val="right" w:pos="8838"/>
      </w:tabs>
    </w:pPr>
  </w:style>
  <w:style w:type="character" w:customStyle="1" w:styleId="PiedepginaCar">
    <w:name w:val="Pie de página Car"/>
    <w:basedOn w:val="Fuentedeprrafopredeter"/>
    <w:link w:val="Piedepgina"/>
  </w:style>
  <w:style w:type="character" w:styleId="Hipervnculo">
    <w:name w:val="Hyperlink"/>
    <w:basedOn w:val="Fuentedeprrafopredeter"/>
    <w:rPr>
      <w:color w:val="0000FF"/>
      <w:u w:val="single"/>
    </w:rPr>
  </w:style>
  <w:style w:type="character" w:styleId="Nmerodepgina">
    <w:name w:val="page number"/>
    <w:basedOn w:val="Fuentedeprrafopredeter"/>
    <w:uiPriority w:val="99"/>
  </w:style>
  <w:style w:type="paragraph" w:styleId="NormalWeb">
    <w:name w:val="Normal (Web)"/>
    <w:basedOn w:val="Normal"/>
    <w:link w:val="NormalWebCar"/>
    <w:uiPriority w:val="99"/>
    <w:qFormat/>
    <w:pPr>
      <w:spacing w:before="100" w:beforeAutospacing="1" w:after="100" w:afterAutospacing="1"/>
    </w:pPr>
    <w:rPr>
      <w:sz w:val="24"/>
      <w:szCs w:val="24"/>
      <w:lang w:val="es-CO"/>
    </w:rPr>
  </w:style>
  <w:style w:type="paragraph" w:styleId="Textonotapie">
    <w:name w:val="footnote text"/>
    <w:basedOn w:val="Normal"/>
    <w:link w:val="TextonotapieCar"/>
    <w:uiPriority w:val="99"/>
    <w:qFormat/>
  </w:style>
  <w:style w:type="character" w:customStyle="1" w:styleId="TextonotapieCar">
    <w:name w:val="Texto nota pie Car"/>
    <w:basedOn w:val="Fuentedeprrafopredeter"/>
    <w:link w:val="Textonotapie"/>
    <w:uiPriority w:val="99"/>
    <w:qFormat/>
    <w:rPr>
      <w:rFonts w:ascii="Times New Roman" w:eastAsia="Times New Roman" w:hAnsi="Times New Roman" w:cs="Times New Roman"/>
      <w:kern w:val="0"/>
      <w:sz w:val="20"/>
      <w:szCs w:val="20"/>
      <w:lang w:val="es-ES_tradnl" w:eastAsia="es-ES"/>
    </w:rPr>
  </w:style>
  <w:style w:type="character" w:styleId="Refdenotaalpie">
    <w:name w:val="footnote reference"/>
    <w:basedOn w:val="Fuentedeprrafopredeter"/>
    <w:link w:val="Piedepagina"/>
    <w:uiPriority w:val="99"/>
    <w:qFormat/>
    <w:rPr>
      <w:vertAlign w:val="superscript"/>
    </w:rPr>
  </w:style>
  <w:style w:type="paragraph" w:customStyle="1" w:styleId="xmsonormal">
    <w:name w:val="x_msonormal"/>
    <w:basedOn w:val="Normal"/>
    <w:pPr>
      <w:spacing w:before="100" w:beforeAutospacing="1" w:after="100" w:afterAutospacing="1"/>
    </w:pPr>
    <w:rPr>
      <w:sz w:val="24"/>
      <w:szCs w:val="24"/>
      <w:lang w:val="es-CO"/>
    </w:rPr>
  </w:style>
  <w:style w:type="paragraph" w:customStyle="1" w:styleId="paragraph">
    <w:name w:val="paragraph"/>
    <w:basedOn w:val="Normal"/>
    <w:pPr>
      <w:spacing w:before="100" w:beforeAutospacing="1" w:after="100" w:afterAutospacing="1"/>
    </w:pPr>
    <w:rPr>
      <w:sz w:val="24"/>
      <w:szCs w:val="24"/>
      <w:lang w:val="es-CO"/>
    </w:rPr>
  </w:style>
  <w:style w:type="character" w:customStyle="1" w:styleId="normaltextrun">
    <w:name w:val="normaltextrun"/>
    <w:basedOn w:val="Fuentedeprrafopredeter"/>
  </w:style>
  <w:style w:type="paragraph" w:customStyle="1" w:styleId="xxxmsonormal">
    <w:name w:val="x_xxmsonormal"/>
    <w:basedOn w:val="Normal"/>
    <w:pPr>
      <w:spacing w:before="100" w:beforeAutospacing="1" w:after="100" w:afterAutospacing="1"/>
    </w:pPr>
    <w:rPr>
      <w:sz w:val="24"/>
      <w:szCs w:val="24"/>
      <w:lang w:val="es-CO"/>
    </w:rPr>
  </w:style>
  <w:style w:type="character" w:customStyle="1" w:styleId="xcontentpasted0">
    <w:name w:val="x_contentpasted0"/>
    <w:basedOn w:val="Fuentedeprrafopredeter"/>
  </w:style>
  <w:style w:type="paragraph" w:customStyle="1" w:styleId="Piedepagina">
    <w:name w:val="Pie de pagina"/>
    <w:basedOn w:val="Normal"/>
    <w:link w:val="Refdenotaalpie"/>
    <w:uiPriority w:val="99"/>
    <w:pPr>
      <w:spacing w:after="160" w:line="240" w:lineRule="exact"/>
    </w:pPr>
    <w:rPr>
      <w:rFonts w:ascii="Aptos" w:eastAsia="Aptos" w:hAnsi="Aptos" w:cs="SimSun"/>
      <w:kern w:val="2"/>
      <w:sz w:val="24"/>
      <w:szCs w:val="24"/>
      <w:vertAlign w:val="superscript"/>
      <w:lang w:val="es-CO" w:eastAsia="en-US"/>
    </w:rPr>
  </w:style>
  <w:style w:type="character" w:customStyle="1" w:styleId="PrrafodelistaCar">
    <w:name w:val="Párrafo de lista Car"/>
    <w:link w:val="Prrafodelista"/>
    <w:uiPriority w:val="34"/>
    <w:qFormat/>
  </w:style>
  <w:style w:type="character" w:customStyle="1" w:styleId="NormalWebCar">
    <w:name w:val="Normal (Web) Car"/>
    <w:link w:val="NormalWeb"/>
    <w:uiPriority w:val="99"/>
    <w:rPr>
      <w:rFonts w:ascii="Times New Roman" w:eastAsia="Times New Roman" w:hAnsi="Times New Roman" w:cs="Times New Roman"/>
      <w:kern w:val="0"/>
      <w:lang w:eastAsia="es-CO"/>
    </w:rPr>
  </w:style>
  <w:style w:type="character" w:customStyle="1" w:styleId="Mencinsinresolver1">
    <w:name w:val="Mención sin resolver1"/>
    <w:basedOn w:val="Fuentedeprrafopredeter"/>
    <w:uiPriority w:val="99"/>
    <w:rPr>
      <w:color w:val="605E5C"/>
      <w:shd w:val="clear" w:color="auto" w:fill="E1DFDD"/>
    </w:rPr>
  </w:style>
  <w:style w:type="character" w:styleId="Refdecomentario">
    <w:name w:val="annotation reference"/>
    <w:basedOn w:val="Fuentedeprrafopredeter"/>
    <w:uiPriority w:val="99"/>
    <w:rPr>
      <w:sz w:val="16"/>
      <w:szCs w:val="16"/>
    </w:rPr>
  </w:style>
  <w:style w:type="paragraph" w:styleId="Textocomentario">
    <w:name w:val="annotation text"/>
    <w:basedOn w:val="Normal"/>
    <w:link w:val="TextocomentarioCar"/>
    <w:uiPriority w:val="99"/>
  </w:style>
  <w:style w:type="character" w:customStyle="1" w:styleId="TextocomentarioCar">
    <w:name w:val="Texto comentario Car"/>
    <w:basedOn w:val="Fuentedeprrafopredeter"/>
    <w:link w:val="Textocomentario"/>
    <w:uiPriority w:val="99"/>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rPr>
      <w:b/>
      <w:bCs/>
    </w:rPr>
  </w:style>
  <w:style w:type="character" w:customStyle="1" w:styleId="AsuntodelcomentarioCar">
    <w:name w:val="Asunto del comentario Car"/>
    <w:basedOn w:val="TextocomentarioCar"/>
    <w:link w:val="Asuntodelcomentario"/>
    <w:uiPriority w:val="99"/>
    <w:rPr>
      <w:rFonts w:ascii="Times New Roman" w:eastAsia="Times New Roman" w:hAnsi="Times New Roman" w:cs="Times New Roman"/>
      <w:b/>
      <w:bCs/>
      <w:kern w:val="0"/>
      <w:sz w:val="20"/>
      <w:szCs w:val="20"/>
      <w:lang w:val="es-ES_tradnl" w:eastAsia="es-ES"/>
    </w:rPr>
  </w:style>
  <w:style w:type="paragraph" w:styleId="Subttulo">
    <w:name w:val="Subtitle"/>
    <w:basedOn w:val="Normal"/>
    <w:next w:val="Normal"/>
    <w:uiPriority w:val="11"/>
    <w:qFormat/>
    <w:rPr>
      <w:color w:val="595959"/>
      <w:sz w:val="28"/>
      <w:szCs w:val="28"/>
    </w:rPr>
  </w:style>
  <w:style w:type="character" w:styleId="Mencinsinresolver">
    <w:name w:val="Unresolved Mention"/>
    <w:basedOn w:val="Fuentedeprrafopredeter"/>
    <w:uiPriority w:val="99"/>
    <w:semiHidden/>
    <w:unhideWhenUsed/>
    <w:rsid w:val="008727D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ventanilladecorrespondencia@habitatbogota.gov.co"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cobropersuasivo@habitatbogota.gov.co"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info@alcabama.com.co"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GurQfpk7jKlOvlxKqbKiio5L9g==">CgMxLjAyDmguNjN1OXh6bWtxenZzMg5oLnR6aWliOG1qdTk0ODIOaC52bXE1amxzeWxjamgyCWguM3pueXNoNzIJaC4xdDNoNXNmMg5oLmcwY2s2bW50bTF6OTgAciExT3p2eF9qQjNDMW1aSFgydjhpM1lpSTQxQXpvWl9DS1E=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5253</Words>
  <Characters>28892</Characters>
  <Application>Microsoft Office Word</Application>
  <DocSecurity>0</DocSecurity>
  <Lines>240</Lines>
  <Paragraphs>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2026-03-04T21:26:00Z</dcterms:created>
  <dcterms:modified xsi:type="dcterms:W3CDTF">2026-03-04T21:26:00Z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40d85a79274545258cc346b8002aafdd</vt:lpwstr>
  </property>
</Properties>
</file>